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F9A3" w14:textId="193FBD21" w:rsidR="00A26EEF" w:rsidRPr="006A3596" w:rsidRDefault="00A26EEF">
      <w:pPr>
        <w:pStyle w:val="CSDAPolicy1"/>
        <w:rPr>
          <w:rFonts w:ascii="Calibri" w:hAnsi="Calibri"/>
          <w:b/>
          <w:bCs/>
        </w:rPr>
      </w:pPr>
      <w:r w:rsidRPr="006A3596">
        <w:rPr>
          <w:rFonts w:ascii="Calibri" w:hAnsi="Calibri"/>
          <w:b/>
          <w:bCs/>
        </w:rPr>
        <w:t>POLICY TITLE:</w:t>
      </w:r>
      <w:r w:rsidRPr="006A3596">
        <w:rPr>
          <w:rFonts w:ascii="Calibri" w:hAnsi="Calibri"/>
          <w:b/>
          <w:bCs/>
        </w:rPr>
        <w:tab/>
        <w:t>Reimbursement</w:t>
      </w:r>
      <w:r w:rsidR="00203734">
        <w:rPr>
          <w:rFonts w:ascii="Calibri" w:hAnsi="Calibri"/>
          <w:b/>
          <w:bCs/>
        </w:rPr>
        <w:t>s</w:t>
      </w:r>
    </w:p>
    <w:p w14:paraId="1D7FAD5F" w14:textId="4FC32E0F" w:rsidR="00A26EEF" w:rsidRPr="006A3596" w:rsidRDefault="004516D3">
      <w:pPr>
        <w:pStyle w:val="CSDAPolicy1"/>
        <w:rPr>
          <w:rFonts w:ascii="Calibri" w:hAnsi="Calibri"/>
          <w:b/>
          <w:bCs/>
        </w:rPr>
      </w:pPr>
      <w:r w:rsidRPr="006A3596">
        <w:rPr>
          <w:rFonts w:ascii="Calibri" w:hAnsi="Calibri"/>
          <w:b/>
          <w:bCs/>
        </w:rPr>
        <w:t>POLICY NUMBER:</w:t>
      </w:r>
      <w:r w:rsidRPr="006A3596">
        <w:rPr>
          <w:rFonts w:ascii="Calibri" w:hAnsi="Calibri"/>
          <w:b/>
          <w:bCs/>
        </w:rPr>
        <w:tab/>
      </w:r>
      <w:r w:rsidR="00203734">
        <w:rPr>
          <w:rFonts w:ascii="Calibri" w:hAnsi="Calibri"/>
          <w:b/>
          <w:bCs/>
        </w:rPr>
        <w:t>13499</w:t>
      </w:r>
    </w:p>
    <w:p w14:paraId="462AD01B" w14:textId="77777777" w:rsidR="00A26EEF" w:rsidRPr="006A3596" w:rsidRDefault="00A26EEF">
      <w:pPr>
        <w:pStyle w:val="CSDAPolicy1"/>
        <w:rPr>
          <w:rFonts w:ascii="Calibri" w:hAnsi="Calibri"/>
          <w:b/>
          <w:bCs/>
        </w:rPr>
      </w:pPr>
    </w:p>
    <w:p w14:paraId="5B84D813" w14:textId="7327E728" w:rsidR="00FE5B36" w:rsidRDefault="004516D3" w:rsidP="00546061">
      <w:pPr>
        <w:pStyle w:val="NormalWeb"/>
        <w:tabs>
          <w:tab w:val="left" w:pos="990"/>
        </w:tabs>
        <w:rPr>
          <w:rFonts w:ascii="Calibri" w:hAnsi="Calibri" w:cs="Tahoma"/>
        </w:rPr>
      </w:pPr>
      <w:r w:rsidRPr="006A3596">
        <w:rPr>
          <w:rFonts w:ascii="Calibri" w:hAnsi="Calibri" w:cs="Tahoma"/>
        </w:rPr>
        <w:t xml:space="preserve">The purpose of this policy is to </w:t>
      </w:r>
      <w:r w:rsidR="00B852D4">
        <w:rPr>
          <w:rFonts w:ascii="Calibri" w:hAnsi="Calibri" w:cs="Tahoma"/>
        </w:rPr>
        <w:t xml:space="preserve">establish </w:t>
      </w:r>
      <w:r w:rsidR="00B852D4" w:rsidRPr="00B852D4">
        <w:rPr>
          <w:rFonts w:asciiTheme="minorHAnsi" w:eastAsia="Arial" w:hAnsiTheme="minorHAnsi" w:cstheme="minorHAnsi"/>
        </w:rPr>
        <w:t xml:space="preserve">a travel and expense policy for </w:t>
      </w:r>
      <w:r w:rsidR="00B852D4">
        <w:rPr>
          <w:rFonts w:asciiTheme="minorHAnsi" w:eastAsia="Arial" w:hAnsiTheme="minorHAnsi" w:cstheme="minorHAnsi"/>
        </w:rPr>
        <w:t>CCWD</w:t>
      </w:r>
      <w:r w:rsidR="00B852D4" w:rsidRPr="00B852D4">
        <w:rPr>
          <w:rFonts w:asciiTheme="minorHAnsi" w:eastAsia="Arial" w:hAnsiTheme="minorHAnsi" w:cstheme="minorHAnsi"/>
        </w:rPr>
        <w:t xml:space="preserve"> Board Members and employees </w:t>
      </w:r>
      <w:r w:rsidR="00FE5B36">
        <w:rPr>
          <w:rFonts w:ascii="Calibri" w:hAnsi="Calibri" w:cs="Tahoma"/>
        </w:rPr>
        <w:t>to</w:t>
      </w:r>
      <w:r w:rsidRPr="006A3596">
        <w:rPr>
          <w:rFonts w:ascii="Calibri" w:hAnsi="Calibri" w:cs="Tahoma"/>
        </w:rPr>
        <w:t xml:space="preserve"> be reimbursed for </w:t>
      </w:r>
      <w:r w:rsidR="00A2281C">
        <w:rPr>
          <w:rFonts w:ascii="Calibri" w:hAnsi="Calibri" w:cs="Tahoma"/>
        </w:rPr>
        <w:t xml:space="preserve">authorized </w:t>
      </w:r>
      <w:r w:rsidRPr="006A3596">
        <w:rPr>
          <w:rFonts w:ascii="Calibri" w:hAnsi="Calibri" w:cs="Tahoma"/>
        </w:rPr>
        <w:t>expen</w:t>
      </w:r>
      <w:r w:rsidR="00546061">
        <w:rPr>
          <w:rFonts w:ascii="Calibri" w:hAnsi="Calibri" w:cs="Tahoma"/>
        </w:rPr>
        <w:t>ses incurred at the request, or to the benefit, of the</w:t>
      </w:r>
      <w:r w:rsidRPr="006A3596">
        <w:rPr>
          <w:rFonts w:ascii="Calibri" w:hAnsi="Calibri" w:cs="Tahoma"/>
        </w:rPr>
        <w:t xml:space="preserve"> Distric</w:t>
      </w:r>
      <w:r w:rsidR="00546061">
        <w:rPr>
          <w:rFonts w:ascii="Calibri" w:hAnsi="Calibri" w:cs="Tahoma"/>
        </w:rPr>
        <w:t>t</w:t>
      </w:r>
      <w:r w:rsidRPr="006A3596">
        <w:rPr>
          <w:rFonts w:ascii="Calibri" w:hAnsi="Calibri" w:cs="Tahoma"/>
        </w:rPr>
        <w:t>.</w:t>
      </w:r>
      <w:r w:rsidR="00546061">
        <w:rPr>
          <w:rFonts w:ascii="Calibri" w:hAnsi="Calibri" w:cs="Tahoma"/>
        </w:rPr>
        <w:t xml:space="preserve"> </w:t>
      </w:r>
    </w:p>
    <w:p w14:paraId="07AED9E5" w14:textId="77777777" w:rsidR="00FE5B36" w:rsidRDefault="00FE5B36" w:rsidP="00F013FF">
      <w:pPr>
        <w:pStyle w:val="NormalWeb"/>
        <w:tabs>
          <w:tab w:val="left" w:pos="990"/>
        </w:tabs>
        <w:spacing w:before="0" w:beforeAutospacing="0"/>
        <w:rPr>
          <w:rFonts w:ascii="Calibri" w:hAnsi="Calibri" w:cs="Tahoma"/>
        </w:rPr>
      </w:pPr>
    </w:p>
    <w:p w14:paraId="34C06C47" w14:textId="03E28227" w:rsidR="00546061" w:rsidRDefault="00203734" w:rsidP="00546061">
      <w:pPr>
        <w:pStyle w:val="NormalWeb"/>
        <w:tabs>
          <w:tab w:val="left" w:pos="990"/>
        </w:tabs>
        <w:rPr>
          <w:rFonts w:asciiTheme="minorHAnsi" w:eastAsia="Arial" w:hAnsiTheme="minorHAnsi" w:cstheme="minorHAnsi"/>
        </w:rPr>
      </w:pPr>
      <w:r w:rsidRPr="00546061">
        <w:rPr>
          <w:rFonts w:asciiTheme="minorHAnsi" w:eastAsia="Arial" w:hAnsiTheme="minorHAnsi" w:cstheme="minorHAnsi"/>
        </w:rPr>
        <w:t xml:space="preserve">It is the intent of </w:t>
      </w:r>
      <w:r w:rsidR="00546061">
        <w:rPr>
          <w:rFonts w:asciiTheme="minorHAnsi" w:eastAsia="Arial" w:hAnsiTheme="minorHAnsi" w:cstheme="minorHAnsi"/>
        </w:rPr>
        <w:t>CCWD</w:t>
      </w:r>
      <w:r w:rsidRPr="00546061">
        <w:rPr>
          <w:rFonts w:asciiTheme="minorHAnsi" w:eastAsia="Arial" w:hAnsiTheme="minorHAnsi" w:cstheme="minorHAnsi"/>
        </w:rPr>
        <w:t xml:space="preserve"> to assure compliance with IRS regulations and the California Labor Code. </w:t>
      </w:r>
      <w:r w:rsidR="00FE5B36">
        <w:rPr>
          <w:rFonts w:asciiTheme="minorHAnsi" w:eastAsia="Arial" w:hAnsiTheme="minorHAnsi" w:cstheme="minorHAnsi"/>
        </w:rPr>
        <w:t>Reimbursement of business-related expenses paid to employees is usually tax free; however, employees must substantiate the expenses with original receipts.</w:t>
      </w:r>
    </w:p>
    <w:p w14:paraId="7B7A0B23" w14:textId="77777777" w:rsidR="00546061" w:rsidRDefault="00546061" w:rsidP="00F013FF">
      <w:pPr>
        <w:pStyle w:val="NormalWeb"/>
        <w:tabs>
          <w:tab w:val="left" w:pos="990"/>
        </w:tabs>
        <w:spacing w:before="0" w:beforeAutospacing="0"/>
        <w:rPr>
          <w:rFonts w:asciiTheme="minorHAnsi" w:eastAsia="Arial" w:hAnsiTheme="minorHAnsi" w:cstheme="minorHAnsi"/>
        </w:rPr>
      </w:pPr>
    </w:p>
    <w:p w14:paraId="2DCCC8CD" w14:textId="74ED5462" w:rsidR="004516D3" w:rsidRPr="006A3596" w:rsidRDefault="00203734" w:rsidP="00A2281C">
      <w:pPr>
        <w:pStyle w:val="NormalWeb"/>
        <w:tabs>
          <w:tab w:val="left" w:pos="990"/>
        </w:tabs>
        <w:rPr>
          <w:rFonts w:ascii="Calibri" w:hAnsi="Calibri" w:cs="Tahoma"/>
        </w:rPr>
      </w:pPr>
      <w:r>
        <w:rPr>
          <w:rFonts w:ascii="Calibri" w:hAnsi="Calibri" w:cs="Tahoma"/>
          <w:b/>
        </w:rPr>
        <w:t>13499</w:t>
      </w:r>
      <w:r w:rsidR="004516D3" w:rsidRPr="006A3596">
        <w:rPr>
          <w:rFonts w:ascii="Calibri" w:hAnsi="Calibri" w:cs="Tahoma"/>
          <w:b/>
        </w:rPr>
        <w:t>.</w:t>
      </w:r>
      <w:r w:rsidR="00FE5B36">
        <w:rPr>
          <w:rFonts w:ascii="Calibri" w:hAnsi="Calibri" w:cs="Tahoma"/>
          <w:b/>
        </w:rPr>
        <w:t>1</w:t>
      </w:r>
      <w:r w:rsidR="00546061">
        <w:rPr>
          <w:rFonts w:ascii="Calibri" w:hAnsi="Calibri" w:cs="Tahoma"/>
          <w:b/>
        </w:rPr>
        <w:t xml:space="preserve"> </w:t>
      </w:r>
      <w:r w:rsidR="00546061">
        <w:rPr>
          <w:rFonts w:ascii="Calibri" w:hAnsi="Calibri" w:cs="Tahoma"/>
          <w:b/>
        </w:rPr>
        <w:tab/>
      </w:r>
      <w:r w:rsidR="00546061" w:rsidRPr="00546061">
        <w:rPr>
          <w:rFonts w:ascii="Calibri" w:hAnsi="Calibri" w:cs="Tahoma"/>
        </w:rPr>
        <w:t>Reimbursement of</w:t>
      </w:r>
      <w:r w:rsidR="004516D3" w:rsidRPr="00546061">
        <w:rPr>
          <w:rFonts w:ascii="Calibri" w:hAnsi="Calibri" w:cs="Tahoma"/>
        </w:rPr>
        <w:t xml:space="preserve"> </w:t>
      </w:r>
      <w:r w:rsidR="004516D3" w:rsidRPr="006A3596">
        <w:rPr>
          <w:rFonts w:ascii="Calibri" w:hAnsi="Calibri" w:cs="Tahoma"/>
        </w:rPr>
        <w:t>out-of-pocket expenses for item(s) or service(s) appropriately relating to District business, shall</w:t>
      </w:r>
      <w:r w:rsidR="00546061">
        <w:rPr>
          <w:rFonts w:ascii="Calibri" w:hAnsi="Calibri" w:cs="Tahoma"/>
        </w:rPr>
        <w:t xml:space="preserve"> be made upon</w:t>
      </w:r>
      <w:r w:rsidR="004516D3" w:rsidRPr="006A3596">
        <w:rPr>
          <w:rFonts w:ascii="Calibri" w:hAnsi="Calibri" w:cs="Tahoma"/>
        </w:rPr>
        <w:t xml:space="preserve"> submi</w:t>
      </w:r>
      <w:r w:rsidR="00546061">
        <w:rPr>
          <w:rFonts w:ascii="Calibri" w:hAnsi="Calibri" w:cs="Tahoma"/>
        </w:rPr>
        <w:t>ssion of app</w:t>
      </w:r>
      <w:r w:rsidR="003F0767">
        <w:rPr>
          <w:rFonts w:ascii="Calibri" w:hAnsi="Calibri" w:cs="Tahoma"/>
        </w:rPr>
        <w:t>roved</w:t>
      </w:r>
      <w:r w:rsidR="00546061">
        <w:rPr>
          <w:rFonts w:ascii="Calibri" w:hAnsi="Calibri" w:cs="Tahoma"/>
        </w:rPr>
        <w:t xml:space="preserve"> </w:t>
      </w:r>
      <w:r w:rsidR="003F0767">
        <w:rPr>
          <w:rFonts w:ascii="Calibri" w:hAnsi="Calibri" w:cs="Tahoma"/>
        </w:rPr>
        <w:t>E</w:t>
      </w:r>
      <w:r w:rsidR="00546061">
        <w:rPr>
          <w:rFonts w:ascii="Calibri" w:hAnsi="Calibri" w:cs="Tahoma"/>
        </w:rPr>
        <w:t xml:space="preserve">xpense </w:t>
      </w:r>
      <w:r w:rsidR="003F0767">
        <w:rPr>
          <w:rFonts w:ascii="Calibri" w:hAnsi="Calibri" w:cs="Tahoma"/>
        </w:rPr>
        <w:t xml:space="preserve">Request </w:t>
      </w:r>
      <w:r w:rsidR="00546061">
        <w:rPr>
          <w:rFonts w:ascii="Calibri" w:hAnsi="Calibri" w:cs="Tahoma"/>
        </w:rPr>
        <w:t>forms and original receipts</w:t>
      </w:r>
      <w:r w:rsidR="004079F4">
        <w:rPr>
          <w:rFonts w:ascii="Calibri" w:hAnsi="Calibri" w:cs="Tahoma"/>
        </w:rPr>
        <w:t xml:space="preserve"> unless noted in 13499.</w:t>
      </w:r>
      <w:r w:rsidR="00FE5B36">
        <w:rPr>
          <w:rFonts w:ascii="Calibri" w:hAnsi="Calibri" w:cs="Tahoma"/>
        </w:rPr>
        <w:t>1</w:t>
      </w:r>
      <w:r w:rsidR="004079F4">
        <w:rPr>
          <w:rFonts w:ascii="Calibri" w:hAnsi="Calibri" w:cs="Tahoma"/>
        </w:rPr>
        <w:t>.3</w:t>
      </w:r>
      <w:r w:rsidR="00546061">
        <w:rPr>
          <w:rFonts w:ascii="Calibri" w:hAnsi="Calibri" w:cs="Tahoma"/>
        </w:rPr>
        <w:t>.</w:t>
      </w:r>
      <w:r w:rsidR="004516D3" w:rsidRPr="006A3596">
        <w:rPr>
          <w:rFonts w:ascii="Calibri" w:hAnsi="Calibri" w:cs="Tahoma"/>
        </w:rPr>
        <w:t xml:space="preserve"> </w:t>
      </w:r>
    </w:p>
    <w:p w14:paraId="7413CF49" w14:textId="2DA714FB" w:rsidR="004079F4" w:rsidRPr="00A47B45" w:rsidRDefault="004516D3" w:rsidP="00A47B45">
      <w:pPr>
        <w:pStyle w:val="CSDAPolicy1"/>
        <w:tabs>
          <w:tab w:val="clear" w:pos="0"/>
          <w:tab w:val="clear" w:pos="810"/>
          <w:tab w:val="clear" w:pos="1800"/>
          <w:tab w:val="left" w:pos="1710"/>
        </w:tabs>
        <w:spacing w:before="120"/>
        <w:ind w:left="792" w:hanging="72"/>
        <w:rPr>
          <w:rFonts w:ascii="Calibri" w:hAnsi="Calibri" w:cs="Tahoma"/>
        </w:rPr>
      </w:pPr>
      <w:r w:rsidRPr="006A3596">
        <w:rPr>
          <w:rFonts w:ascii="Calibri" w:hAnsi="Calibri" w:cs="Tahoma"/>
          <w:b/>
        </w:rPr>
        <w:tab/>
      </w:r>
      <w:r w:rsidR="004079F4">
        <w:rPr>
          <w:rFonts w:ascii="Calibri" w:hAnsi="Calibri" w:cs="Tahoma"/>
          <w:b/>
        </w:rPr>
        <w:t>13499.</w:t>
      </w:r>
      <w:r w:rsidR="00FE5B36">
        <w:rPr>
          <w:rFonts w:ascii="Calibri" w:hAnsi="Calibri" w:cs="Tahoma"/>
          <w:b/>
        </w:rPr>
        <w:t>1</w:t>
      </w:r>
      <w:r w:rsidR="004079F4" w:rsidRPr="006A3596">
        <w:rPr>
          <w:rFonts w:ascii="Calibri" w:hAnsi="Calibri" w:cs="Tahoma"/>
          <w:b/>
        </w:rPr>
        <w:t>.</w:t>
      </w:r>
      <w:r w:rsidR="004079F4">
        <w:rPr>
          <w:rFonts w:ascii="Calibri" w:hAnsi="Calibri" w:cs="Tahoma"/>
          <w:b/>
        </w:rPr>
        <w:t>1</w:t>
      </w:r>
      <w:r w:rsidR="004079F4" w:rsidRPr="006A3596">
        <w:rPr>
          <w:rFonts w:ascii="Calibri" w:hAnsi="Calibri" w:cs="Tahoma"/>
          <w:b/>
        </w:rPr>
        <w:tab/>
      </w:r>
      <w:r w:rsidR="004079F4" w:rsidRPr="006A3596">
        <w:rPr>
          <w:rFonts w:ascii="Calibri" w:hAnsi="Calibri" w:cs="Tahoma"/>
        </w:rPr>
        <w:t xml:space="preserve">All </w:t>
      </w:r>
      <w:r w:rsidR="004079F4">
        <w:rPr>
          <w:rFonts w:ascii="Calibri" w:hAnsi="Calibri"/>
        </w:rPr>
        <w:t>expenditures requested for reimbursement must be actual</w:t>
      </w:r>
      <w:r w:rsidR="004079F4" w:rsidRPr="006A3596">
        <w:rPr>
          <w:rFonts w:ascii="Calibri" w:hAnsi="Calibri" w:cs="Tahoma"/>
        </w:rPr>
        <w:t xml:space="preserve"> and necessary, </w:t>
      </w:r>
      <w:r w:rsidR="004079F4">
        <w:rPr>
          <w:rFonts w:ascii="Calibri" w:hAnsi="Calibri" w:cs="Tahoma"/>
        </w:rPr>
        <w:t xml:space="preserve">pursuant to Gov. Code Section 53232.2 and 53232.3. In addition, </w:t>
      </w:r>
      <w:r w:rsidR="004079F4" w:rsidRPr="006A3596">
        <w:rPr>
          <w:rFonts w:ascii="Calibri" w:hAnsi="Calibri" w:cs="Tahoma"/>
        </w:rPr>
        <w:t xml:space="preserve">employees and directors are encouraged to exercise prudence in all expenditures. </w:t>
      </w:r>
    </w:p>
    <w:p w14:paraId="2440342B" w14:textId="7F4EB46B" w:rsidR="004516D3" w:rsidRPr="006A3596" w:rsidRDefault="00EE3B44" w:rsidP="00A47B45">
      <w:pPr>
        <w:pStyle w:val="CSDAPolicy1"/>
        <w:tabs>
          <w:tab w:val="clear" w:pos="0"/>
          <w:tab w:val="clear" w:pos="810"/>
          <w:tab w:val="clear" w:pos="1800"/>
          <w:tab w:val="left" w:pos="1710"/>
        </w:tabs>
        <w:spacing w:before="120"/>
        <w:ind w:left="792" w:hanging="72"/>
        <w:rPr>
          <w:rFonts w:ascii="Calibri" w:hAnsi="Calibri" w:cs="Tahoma"/>
        </w:rPr>
      </w:pPr>
      <w:r>
        <w:rPr>
          <w:rFonts w:ascii="Calibri" w:hAnsi="Calibri" w:cs="Tahoma"/>
          <w:b/>
        </w:rPr>
        <w:tab/>
      </w:r>
      <w:r w:rsidR="004079F4">
        <w:rPr>
          <w:rFonts w:ascii="Calibri" w:hAnsi="Calibri" w:cs="Tahoma"/>
          <w:b/>
        </w:rPr>
        <w:t>13499.</w:t>
      </w:r>
      <w:r w:rsidR="00FE5B36">
        <w:rPr>
          <w:rFonts w:ascii="Calibri" w:hAnsi="Calibri" w:cs="Tahoma"/>
          <w:b/>
        </w:rPr>
        <w:t>1</w:t>
      </w:r>
      <w:r w:rsidR="004516D3" w:rsidRPr="006A3596">
        <w:rPr>
          <w:rFonts w:ascii="Calibri" w:hAnsi="Calibri" w:cs="Tahoma"/>
          <w:b/>
        </w:rPr>
        <w:t>.</w:t>
      </w:r>
      <w:r w:rsidR="004079F4">
        <w:rPr>
          <w:rFonts w:ascii="Calibri" w:hAnsi="Calibri" w:cs="Tahoma"/>
          <w:b/>
        </w:rPr>
        <w:t>2</w:t>
      </w:r>
      <w:r w:rsidR="004516D3" w:rsidRPr="006A3596">
        <w:rPr>
          <w:rFonts w:ascii="Calibri" w:hAnsi="Calibri" w:cs="Tahoma"/>
          <w:b/>
        </w:rPr>
        <w:tab/>
      </w:r>
      <w:r w:rsidR="004516D3" w:rsidRPr="006A3596">
        <w:rPr>
          <w:rFonts w:ascii="Calibri" w:hAnsi="Calibri" w:cs="Tahoma"/>
        </w:rPr>
        <w:t>The General Manager will review and approve reimbursement requests</w:t>
      </w:r>
      <w:r w:rsidR="006E433F" w:rsidRPr="006A3596">
        <w:rPr>
          <w:rFonts w:ascii="Calibri" w:hAnsi="Calibri" w:cs="Tahoma"/>
        </w:rPr>
        <w:t xml:space="preserve">. </w:t>
      </w:r>
      <w:r w:rsidR="004516D3" w:rsidRPr="006A3596">
        <w:rPr>
          <w:rFonts w:ascii="Calibri" w:hAnsi="Calibri" w:cs="Tahoma"/>
        </w:rPr>
        <w:t>Rei</w:t>
      </w:r>
      <w:r w:rsidR="00597ACD" w:rsidRPr="006A3596">
        <w:rPr>
          <w:rFonts w:ascii="Calibri" w:hAnsi="Calibri" w:cs="Tahoma"/>
        </w:rPr>
        <w:t xml:space="preserve">mbursement requests </w:t>
      </w:r>
      <w:r w:rsidR="004516D3" w:rsidRPr="006A3596">
        <w:rPr>
          <w:rFonts w:ascii="Calibri" w:hAnsi="Calibri" w:cs="Tahoma"/>
        </w:rPr>
        <w:t>by the General Manager</w:t>
      </w:r>
      <w:r w:rsidR="00D44E19">
        <w:rPr>
          <w:rFonts w:ascii="Calibri" w:hAnsi="Calibri" w:cs="Tahoma"/>
        </w:rPr>
        <w:t xml:space="preserve"> will be approved by the Board of Directors if total monthly expenses exceed $500</w:t>
      </w:r>
      <w:r w:rsidR="004516D3" w:rsidRPr="006A3596">
        <w:rPr>
          <w:rFonts w:ascii="Calibri" w:hAnsi="Calibri" w:cs="Tahoma"/>
        </w:rPr>
        <w:t xml:space="preserve">. </w:t>
      </w:r>
    </w:p>
    <w:p w14:paraId="4E1E2B57" w14:textId="4453912A" w:rsidR="004516D3" w:rsidRPr="006A3596" w:rsidRDefault="00EE3B44" w:rsidP="00A47B45">
      <w:pPr>
        <w:pStyle w:val="NormalWeb"/>
        <w:tabs>
          <w:tab w:val="left" w:pos="1710"/>
        </w:tabs>
        <w:spacing w:before="120" w:beforeAutospacing="0"/>
        <w:ind w:left="792" w:hanging="72"/>
        <w:rPr>
          <w:rFonts w:ascii="Calibri" w:hAnsi="Calibri" w:cs="Tahoma"/>
        </w:rPr>
      </w:pPr>
      <w:r>
        <w:rPr>
          <w:rFonts w:ascii="Calibri" w:hAnsi="Calibri" w:cs="Tahoma"/>
          <w:b/>
          <w:bCs/>
        </w:rPr>
        <w:tab/>
      </w:r>
      <w:r w:rsidR="004079F4" w:rsidRPr="00FE5B36">
        <w:rPr>
          <w:rFonts w:ascii="Calibri" w:hAnsi="Calibri" w:cs="Tahoma"/>
          <w:b/>
          <w:bCs/>
        </w:rPr>
        <w:t>13499.</w:t>
      </w:r>
      <w:r w:rsidR="00FE5B36" w:rsidRPr="00FE5B36">
        <w:rPr>
          <w:rFonts w:ascii="Calibri" w:hAnsi="Calibri" w:cs="Tahoma"/>
          <w:b/>
          <w:bCs/>
        </w:rPr>
        <w:t>1</w:t>
      </w:r>
      <w:r w:rsidR="004079F4" w:rsidRPr="00FE5B36">
        <w:rPr>
          <w:rFonts w:ascii="Calibri" w:hAnsi="Calibri" w:cs="Tahoma"/>
          <w:b/>
          <w:bCs/>
        </w:rPr>
        <w:t>.3</w:t>
      </w:r>
      <w:r w:rsidR="004079F4">
        <w:rPr>
          <w:rFonts w:ascii="Calibri" w:hAnsi="Calibri" w:cs="Tahoma"/>
        </w:rPr>
        <w:tab/>
        <w:t xml:space="preserve">Opt-Out </w:t>
      </w:r>
      <w:r w:rsidR="00E73A4B">
        <w:rPr>
          <w:rFonts w:ascii="Calibri" w:hAnsi="Calibri" w:cs="Tahoma"/>
        </w:rPr>
        <w:t xml:space="preserve">(Policy 13505.1.2) </w:t>
      </w:r>
      <w:r w:rsidR="004079F4">
        <w:rPr>
          <w:rFonts w:ascii="Calibri" w:hAnsi="Calibri" w:cs="Tahoma"/>
        </w:rPr>
        <w:t xml:space="preserve">and Cell Phone/Data Expense </w:t>
      </w:r>
      <w:r w:rsidR="00E73A4B">
        <w:rPr>
          <w:rFonts w:ascii="Calibri" w:hAnsi="Calibri" w:cs="Tahoma"/>
        </w:rPr>
        <w:t xml:space="preserve">(13499.2) </w:t>
      </w:r>
      <w:r w:rsidR="004079F4">
        <w:rPr>
          <w:rFonts w:ascii="Calibri" w:hAnsi="Calibri" w:cs="Tahoma"/>
        </w:rPr>
        <w:t xml:space="preserve">Reimbursements </w:t>
      </w:r>
      <w:r w:rsidR="00E73A4B">
        <w:rPr>
          <w:rFonts w:ascii="Calibri" w:hAnsi="Calibri" w:cs="Tahoma"/>
        </w:rPr>
        <w:t xml:space="preserve">available to employees </w:t>
      </w:r>
      <w:r>
        <w:rPr>
          <w:rFonts w:ascii="Calibri" w:hAnsi="Calibri" w:cs="Tahoma"/>
        </w:rPr>
        <w:t xml:space="preserve">will </w:t>
      </w:r>
      <w:r w:rsidR="00E73A4B">
        <w:rPr>
          <w:rFonts w:ascii="Calibri" w:hAnsi="Calibri" w:cs="Tahoma"/>
        </w:rPr>
        <w:t xml:space="preserve">be issued as separate line items on paychecks. To receive these reimbursements, an </w:t>
      </w:r>
      <w:r>
        <w:rPr>
          <w:rFonts w:ascii="Calibri" w:hAnsi="Calibri" w:cs="Tahoma"/>
        </w:rPr>
        <w:t xml:space="preserve">Expense Request form must be accompanied by </w:t>
      </w:r>
      <w:r w:rsidR="004079F4">
        <w:rPr>
          <w:rFonts w:ascii="Calibri" w:hAnsi="Calibri" w:cs="Tahoma"/>
        </w:rPr>
        <w:t xml:space="preserve">proof of monthly expenses in such form as the District may </w:t>
      </w:r>
      <w:r w:rsidR="00402F94">
        <w:rPr>
          <w:rFonts w:ascii="Calibri" w:hAnsi="Calibri" w:cs="Tahoma"/>
        </w:rPr>
        <w:t>require annually or within the month of any changes.</w:t>
      </w:r>
    </w:p>
    <w:p w14:paraId="348D9204" w14:textId="77777777" w:rsidR="00E73A4B" w:rsidRDefault="004516D3" w:rsidP="00E73A4B">
      <w:pPr>
        <w:pStyle w:val="CSDAPolicy1"/>
        <w:tabs>
          <w:tab w:val="clear" w:pos="0"/>
        </w:tabs>
        <w:ind w:left="810" w:hanging="810"/>
        <w:rPr>
          <w:rFonts w:ascii="Calibri" w:hAnsi="Calibri" w:cs="Tahoma"/>
        </w:rPr>
      </w:pPr>
      <w:r w:rsidRPr="006A3596">
        <w:rPr>
          <w:rFonts w:ascii="Calibri" w:hAnsi="Calibri" w:cs="Tahoma"/>
        </w:rPr>
        <w:tab/>
        <w:t xml:space="preserve"> </w:t>
      </w:r>
    </w:p>
    <w:p w14:paraId="7299A0B7" w14:textId="6A0AE514" w:rsidR="00A2281C" w:rsidRPr="00E73A4B" w:rsidRDefault="00E73A4B" w:rsidP="00A47B45">
      <w:pPr>
        <w:pStyle w:val="CSDAPolicy1"/>
        <w:tabs>
          <w:tab w:val="clear" w:pos="0"/>
          <w:tab w:val="clear" w:pos="810"/>
          <w:tab w:val="left" w:pos="990"/>
        </w:tabs>
        <w:spacing w:before="120"/>
        <w:rPr>
          <w:rFonts w:ascii="Calibri" w:hAnsi="Calibri" w:cs="Tahoma"/>
        </w:rPr>
      </w:pPr>
      <w:r w:rsidRPr="00A47B45">
        <w:rPr>
          <w:rFonts w:asciiTheme="minorHAnsi" w:hAnsiTheme="minorHAnsi" w:cstheme="minorHAnsi"/>
          <w:b/>
          <w:bCs/>
          <w:spacing w:val="-4"/>
          <w:szCs w:val="24"/>
        </w:rPr>
        <w:t>1</w:t>
      </w:r>
      <w:r w:rsidR="00A2281C" w:rsidRPr="00A47B45">
        <w:rPr>
          <w:rFonts w:asciiTheme="minorHAnsi" w:hAnsiTheme="minorHAnsi" w:cstheme="minorHAnsi"/>
          <w:b/>
          <w:bCs/>
          <w:spacing w:val="-4"/>
          <w:szCs w:val="24"/>
        </w:rPr>
        <w:t>3499.2</w:t>
      </w:r>
      <w:r w:rsidR="00A2281C" w:rsidRPr="00A2281C">
        <w:rPr>
          <w:rFonts w:asciiTheme="minorHAnsi" w:hAnsiTheme="minorHAnsi" w:cstheme="minorHAnsi"/>
          <w:spacing w:val="-4"/>
          <w:szCs w:val="24"/>
        </w:rPr>
        <w:tab/>
        <w:t xml:space="preserve"> Cell Phone/Data </w:t>
      </w:r>
      <w:r>
        <w:rPr>
          <w:rFonts w:asciiTheme="minorHAnsi" w:hAnsiTheme="minorHAnsi" w:cstheme="minorHAnsi"/>
          <w:spacing w:val="-4"/>
          <w:szCs w:val="24"/>
        </w:rPr>
        <w:t xml:space="preserve">Device </w:t>
      </w:r>
      <w:r w:rsidR="00A2281C" w:rsidRPr="00A2281C">
        <w:rPr>
          <w:rFonts w:asciiTheme="minorHAnsi" w:hAnsiTheme="minorHAnsi" w:cstheme="minorHAnsi"/>
          <w:spacing w:val="-4"/>
          <w:szCs w:val="24"/>
        </w:rPr>
        <w:t xml:space="preserve">Expenses: </w:t>
      </w:r>
    </w:p>
    <w:p w14:paraId="0AB79262" w14:textId="67AC0687" w:rsidR="00A2281C" w:rsidRPr="00A2281C" w:rsidRDefault="00A2281C" w:rsidP="00A47B45">
      <w:pPr>
        <w:spacing w:line="276" w:lineRule="exact"/>
        <w:ind w:left="0" w:right="72"/>
        <w:contextualSpacing/>
        <w:jc w:val="both"/>
        <w:textAlignment w:val="baseline"/>
        <w:rPr>
          <w:rFonts w:asciiTheme="minorHAnsi" w:eastAsia="Arial" w:hAnsiTheme="minorHAnsi" w:cstheme="minorHAnsi"/>
          <w:color w:val="000000"/>
          <w:spacing w:val="0"/>
          <w:sz w:val="24"/>
          <w:szCs w:val="24"/>
        </w:rPr>
      </w:pPr>
      <w:r w:rsidRPr="00A2281C">
        <w:rPr>
          <w:rFonts w:asciiTheme="minorHAnsi" w:eastAsia="Arial" w:hAnsiTheme="minorHAnsi" w:cstheme="minorHAnsi"/>
          <w:color w:val="000000"/>
          <w:spacing w:val="0"/>
          <w:sz w:val="24"/>
          <w:szCs w:val="24"/>
        </w:rPr>
        <w:t xml:space="preserve">For employees that are provided with a </w:t>
      </w:r>
      <w:r w:rsidR="00E73A4B">
        <w:rPr>
          <w:rFonts w:asciiTheme="minorHAnsi" w:eastAsia="Arial" w:hAnsiTheme="minorHAnsi" w:cstheme="minorHAnsi"/>
          <w:color w:val="000000"/>
          <w:spacing w:val="0"/>
          <w:sz w:val="24"/>
          <w:szCs w:val="24"/>
        </w:rPr>
        <w:t>CCWD</w:t>
      </w:r>
      <w:r w:rsidRPr="00A2281C">
        <w:rPr>
          <w:rFonts w:asciiTheme="minorHAnsi" w:eastAsia="Arial" w:hAnsiTheme="minorHAnsi" w:cstheme="minorHAnsi"/>
          <w:color w:val="000000"/>
          <w:spacing w:val="0"/>
          <w:sz w:val="24"/>
          <w:szCs w:val="24"/>
        </w:rPr>
        <w:t xml:space="preserve"> cell phone</w:t>
      </w:r>
      <w:r w:rsidR="00E73A4B">
        <w:rPr>
          <w:rFonts w:asciiTheme="minorHAnsi" w:eastAsia="Arial" w:hAnsiTheme="minorHAnsi" w:cstheme="minorHAnsi"/>
          <w:color w:val="000000"/>
          <w:spacing w:val="0"/>
          <w:sz w:val="24"/>
          <w:szCs w:val="24"/>
        </w:rPr>
        <w:t>/data device</w:t>
      </w:r>
      <w:r w:rsidRPr="00A2281C">
        <w:rPr>
          <w:rFonts w:asciiTheme="minorHAnsi" w:eastAsia="Arial" w:hAnsiTheme="minorHAnsi" w:cstheme="minorHAnsi"/>
          <w:color w:val="000000"/>
          <w:spacing w:val="0"/>
          <w:sz w:val="24"/>
          <w:szCs w:val="24"/>
        </w:rPr>
        <w:t xml:space="preserve"> for business use, which may include voice calls, emails, and messaging, the </w:t>
      </w:r>
      <w:r w:rsidR="00E73A4B">
        <w:rPr>
          <w:rFonts w:asciiTheme="minorHAnsi" w:eastAsia="Arial" w:hAnsiTheme="minorHAnsi" w:cstheme="minorHAnsi"/>
          <w:color w:val="000000"/>
          <w:spacing w:val="0"/>
          <w:sz w:val="24"/>
          <w:szCs w:val="24"/>
        </w:rPr>
        <w:t>CCWD</w:t>
      </w:r>
      <w:r w:rsidRPr="00A2281C">
        <w:rPr>
          <w:rFonts w:asciiTheme="minorHAnsi" w:eastAsia="Arial" w:hAnsiTheme="minorHAnsi" w:cstheme="minorHAnsi"/>
          <w:color w:val="000000"/>
          <w:spacing w:val="0"/>
          <w:sz w:val="24"/>
          <w:szCs w:val="24"/>
        </w:rPr>
        <w:t xml:space="preserve"> </w:t>
      </w:r>
      <w:r w:rsidR="00E73A4B">
        <w:rPr>
          <w:rFonts w:asciiTheme="minorHAnsi" w:eastAsia="Arial" w:hAnsiTheme="minorHAnsi" w:cstheme="minorHAnsi"/>
          <w:color w:val="000000"/>
          <w:spacing w:val="0"/>
          <w:sz w:val="24"/>
          <w:szCs w:val="24"/>
        </w:rPr>
        <w:t>device</w:t>
      </w:r>
      <w:r w:rsidRPr="00A2281C">
        <w:rPr>
          <w:rFonts w:asciiTheme="minorHAnsi" w:eastAsia="Arial" w:hAnsiTheme="minorHAnsi" w:cstheme="minorHAnsi"/>
          <w:color w:val="000000"/>
          <w:spacing w:val="0"/>
          <w:sz w:val="24"/>
          <w:szCs w:val="24"/>
        </w:rPr>
        <w:t xml:space="preserve"> is expected to be used for all necessary business usage</w:t>
      </w:r>
      <w:r w:rsidR="006E433F" w:rsidRPr="00A2281C">
        <w:rPr>
          <w:rFonts w:asciiTheme="minorHAnsi" w:eastAsia="Arial" w:hAnsiTheme="minorHAnsi" w:cstheme="minorHAnsi"/>
          <w:color w:val="000000"/>
          <w:spacing w:val="0"/>
          <w:sz w:val="24"/>
          <w:szCs w:val="24"/>
        </w:rPr>
        <w:t xml:space="preserve">. </w:t>
      </w:r>
      <w:r w:rsidRPr="00A2281C">
        <w:rPr>
          <w:rFonts w:asciiTheme="minorHAnsi" w:eastAsia="Arial" w:hAnsiTheme="minorHAnsi" w:cstheme="minorHAnsi"/>
          <w:color w:val="000000"/>
          <w:spacing w:val="0"/>
          <w:sz w:val="24"/>
          <w:szCs w:val="24"/>
        </w:rPr>
        <w:t>Employees are not required to use their personal cell phones for any business use</w:t>
      </w:r>
      <w:r w:rsidR="006E433F" w:rsidRPr="00A2281C">
        <w:rPr>
          <w:rFonts w:asciiTheme="minorHAnsi" w:eastAsia="Arial" w:hAnsiTheme="minorHAnsi" w:cstheme="minorHAnsi"/>
          <w:color w:val="000000"/>
          <w:spacing w:val="0"/>
          <w:sz w:val="24"/>
          <w:szCs w:val="24"/>
        </w:rPr>
        <w:t xml:space="preserve">. </w:t>
      </w:r>
      <w:r w:rsidRPr="00A2281C">
        <w:rPr>
          <w:rFonts w:asciiTheme="minorHAnsi" w:eastAsia="Arial" w:hAnsiTheme="minorHAnsi" w:cstheme="minorHAnsi"/>
          <w:color w:val="000000"/>
          <w:spacing w:val="0"/>
          <w:sz w:val="24"/>
          <w:szCs w:val="24"/>
        </w:rPr>
        <w:t>Accordingly, such employees will not be reimbursed for expenses accrued from personal cell phone use.</w:t>
      </w:r>
    </w:p>
    <w:p w14:paraId="3F775D7E" w14:textId="66BE5FA5" w:rsidR="00A2281C" w:rsidRPr="00A2281C" w:rsidRDefault="00A2281C" w:rsidP="00A47B45">
      <w:pPr>
        <w:spacing w:before="120"/>
        <w:ind w:left="0" w:right="72"/>
        <w:jc w:val="both"/>
        <w:textAlignment w:val="baseline"/>
        <w:rPr>
          <w:rFonts w:asciiTheme="minorHAnsi" w:eastAsia="Arial" w:hAnsiTheme="minorHAnsi" w:cstheme="minorHAnsi"/>
          <w:color w:val="000000"/>
          <w:spacing w:val="0"/>
          <w:sz w:val="24"/>
          <w:szCs w:val="24"/>
        </w:rPr>
      </w:pPr>
      <w:r w:rsidRPr="00A2281C">
        <w:rPr>
          <w:rFonts w:asciiTheme="minorHAnsi" w:eastAsia="Arial" w:hAnsiTheme="minorHAnsi" w:cstheme="minorHAnsi"/>
          <w:color w:val="000000"/>
          <w:spacing w:val="0"/>
          <w:sz w:val="24"/>
          <w:szCs w:val="24"/>
        </w:rPr>
        <w:t xml:space="preserve">For </w:t>
      </w:r>
      <w:r w:rsidR="00DB6CFD">
        <w:rPr>
          <w:rFonts w:asciiTheme="minorHAnsi" w:eastAsia="Arial" w:hAnsiTheme="minorHAnsi" w:cstheme="minorHAnsi"/>
          <w:color w:val="000000"/>
          <w:spacing w:val="0"/>
          <w:sz w:val="24"/>
          <w:szCs w:val="24"/>
        </w:rPr>
        <w:t xml:space="preserve">40-hour/week </w:t>
      </w:r>
      <w:r w:rsidRPr="00A2281C">
        <w:rPr>
          <w:rFonts w:asciiTheme="minorHAnsi" w:eastAsia="Arial" w:hAnsiTheme="minorHAnsi" w:cstheme="minorHAnsi"/>
          <w:color w:val="000000"/>
          <w:spacing w:val="0"/>
          <w:sz w:val="24"/>
          <w:szCs w:val="24"/>
        </w:rPr>
        <w:t>employees that are not provided with a cell phone</w:t>
      </w:r>
      <w:r w:rsidR="00E73A4B">
        <w:rPr>
          <w:rFonts w:asciiTheme="minorHAnsi" w:eastAsia="Arial" w:hAnsiTheme="minorHAnsi" w:cstheme="minorHAnsi"/>
          <w:color w:val="000000"/>
          <w:spacing w:val="0"/>
          <w:sz w:val="24"/>
          <w:szCs w:val="24"/>
        </w:rPr>
        <w:t xml:space="preserve"> or data device</w:t>
      </w:r>
      <w:r w:rsidRPr="00A2281C">
        <w:rPr>
          <w:rFonts w:asciiTheme="minorHAnsi" w:eastAsia="Arial" w:hAnsiTheme="minorHAnsi" w:cstheme="minorHAnsi"/>
          <w:color w:val="000000"/>
          <w:spacing w:val="0"/>
          <w:sz w:val="24"/>
          <w:szCs w:val="24"/>
        </w:rPr>
        <w:t xml:space="preserve"> and are required by their supervisor to use their personal cell phones for </w:t>
      </w:r>
      <w:r w:rsidR="00DB6CFD">
        <w:rPr>
          <w:rFonts w:asciiTheme="minorHAnsi" w:eastAsia="Arial" w:hAnsiTheme="minorHAnsi" w:cstheme="minorHAnsi"/>
          <w:color w:val="000000"/>
          <w:spacing w:val="0"/>
          <w:sz w:val="24"/>
          <w:szCs w:val="24"/>
        </w:rPr>
        <w:t xml:space="preserve">District </w:t>
      </w:r>
      <w:r w:rsidRPr="00A2281C">
        <w:rPr>
          <w:rFonts w:asciiTheme="minorHAnsi" w:eastAsia="Arial" w:hAnsiTheme="minorHAnsi" w:cstheme="minorHAnsi"/>
          <w:color w:val="000000"/>
          <w:spacing w:val="0"/>
          <w:sz w:val="24"/>
          <w:szCs w:val="24"/>
        </w:rPr>
        <w:t xml:space="preserve">business, a monthly stipend of </w:t>
      </w:r>
      <w:r w:rsidR="00DB6CFD">
        <w:rPr>
          <w:rFonts w:asciiTheme="minorHAnsi" w:eastAsia="Arial" w:hAnsiTheme="minorHAnsi" w:cstheme="minorHAnsi"/>
          <w:color w:val="000000"/>
          <w:spacing w:val="0"/>
          <w:sz w:val="24"/>
          <w:szCs w:val="24"/>
        </w:rPr>
        <w:t>100%</w:t>
      </w:r>
      <w:r w:rsidRPr="00A2281C">
        <w:rPr>
          <w:rFonts w:asciiTheme="minorHAnsi" w:eastAsia="Arial" w:hAnsiTheme="minorHAnsi" w:cstheme="minorHAnsi"/>
          <w:color w:val="000000"/>
          <w:spacing w:val="0"/>
          <w:sz w:val="24"/>
          <w:szCs w:val="24"/>
        </w:rPr>
        <w:t xml:space="preserve"> percent of the employee’s monthly cell phone </w:t>
      </w:r>
      <w:r w:rsidR="00DB6CFD">
        <w:rPr>
          <w:rFonts w:asciiTheme="minorHAnsi" w:eastAsia="Arial" w:hAnsiTheme="minorHAnsi" w:cstheme="minorHAnsi"/>
          <w:color w:val="000000"/>
          <w:spacing w:val="0"/>
          <w:sz w:val="24"/>
          <w:szCs w:val="24"/>
        </w:rPr>
        <w:t>service charges</w:t>
      </w:r>
      <w:r w:rsidRPr="00A2281C">
        <w:rPr>
          <w:rFonts w:asciiTheme="minorHAnsi" w:eastAsia="Arial" w:hAnsiTheme="minorHAnsi" w:cstheme="minorHAnsi"/>
          <w:color w:val="000000"/>
          <w:spacing w:val="0"/>
          <w:sz w:val="24"/>
          <w:szCs w:val="24"/>
        </w:rPr>
        <w:t xml:space="preserve"> will be paid to </w:t>
      </w:r>
      <w:r w:rsidRPr="00A2281C">
        <w:rPr>
          <w:rFonts w:asciiTheme="minorHAnsi" w:eastAsia="Arial" w:hAnsiTheme="minorHAnsi" w:cstheme="minorHAnsi"/>
          <w:color w:val="000000"/>
          <w:spacing w:val="0"/>
          <w:sz w:val="24"/>
          <w:szCs w:val="24"/>
        </w:rPr>
        <w:lastRenderedPageBreak/>
        <w:t>cover voice calls, emails, and messaging, up to a maximum of $</w:t>
      </w:r>
      <w:r w:rsidR="00DB6CFD">
        <w:rPr>
          <w:rFonts w:asciiTheme="minorHAnsi" w:eastAsia="Arial" w:hAnsiTheme="minorHAnsi" w:cstheme="minorHAnsi"/>
          <w:color w:val="000000"/>
          <w:spacing w:val="0"/>
          <w:sz w:val="24"/>
          <w:szCs w:val="24"/>
        </w:rPr>
        <w:t>80</w:t>
      </w:r>
      <w:r w:rsidRPr="00A2281C">
        <w:rPr>
          <w:rFonts w:asciiTheme="minorHAnsi" w:eastAsia="Arial" w:hAnsiTheme="minorHAnsi" w:cstheme="minorHAnsi"/>
          <w:color w:val="000000"/>
          <w:spacing w:val="0"/>
          <w:sz w:val="24"/>
          <w:szCs w:val="24"/>
        </w:rPr>
        <w:t xml:space="preserve">.  </w:t>
      </w:r>
      <w:r w:rsidR="00DB6CFD">
        <w:rPr>
          <w:rFonts w:asciiTheme="minorHAnsi" w:eastAsia="Arial" w:hAnsiTheme="minorHAnsi" w:cstheme="minorHAnsi"/>
          <w:color w:val="000000"/>
          <w:spacing w:val="0"/>
          <w:sz w:val="24"/>
          <w:szCs w:val="24"/>
        </w:rPr>
        <w:t>For regular employees scheduled between 20 and 40 hours/week, the stipend will be pro-rated as their schedule relates to that of a 40-hour/week position.</w:t>
      </w:r>
    </w:p>
    <w:p w14:paraId="614A84D6" w14:textId="77777777" w:rsidR="00A2281C" w:rsidRPr="00A2281C" w:rsidRDefault="00A2281C" w:rsidP="00A2281C">
      <w:pPr>
        <w:spacing w:before="276" w:line="276" w:lineRule="exact"/>
        <w:ind w:left="0" w:right="72"/>
        <w:contextualSpacing/>
        <w:jc w:val="both"/>
        <w:textAlignment w:val="baseline"/>
        <w:rPr>
          <w:rFonts w:asciiTheme="minorHAnsi" w:hAnsiTheme="minorHAnsi" w:cstheme="minorHAnsi"/>
          <w:spacing w:val="-4"/>
          <w:sz w:val="24"/>
          <w:szCs w:val="24"/>
        </w:rPr>
      </w:pPr>
    </w:p>
    <w:p w14:paraId="02D6EC53" w14:textId="0A01A857" w:rsidR="00A2281C" w:rsidRPr="00A2281C" w:rsidRDefault="00A72B6D" w:rsidP="00A47B45">
      <w:pPr>
        <w:tabs>
          <w:tab w:val="left" w:pos="990"/>
        </w:tabs>
        <w:spacing w:before="120"/>
        <w:ind w:left="0" w:right="72"/>
        <w:contextualSpacing/>
        <w:jc w:val="both"/>
        <w:textAlignment w:val="baseline"/>
        <w:rPr>
          <w:rFonts w:asciiTheme="minorHAnsi" w:hAnsiTheme="minorHAnsi" w:cstheme="minorHAnsi"/>
          <w:spacing w:val="-4"/>
          <w:sz w:val="24"/>
          <w:szCs w:val="24"/>
        </w:rPr>
      </w:pPr>
      <w:r w:rsidRPr="00A72B6D">
        <w:rPr>
          <w:rFonts w:asciiTheme="minorHAnsi" w:hAnsiTheme="minorHAnsi" w:cstheme="minorHAnsi"/>
          <w:b/>
          <w:bCs/>
          <w:spacing w:val="-4"/>
          <w:sz w:val="24"/>
          <w:szCs w:val="24"/>
        </w:rPr>
        <w:t>1</w:t>
      </w:r>
      <w:r w:rsidR="00A2281C" w:rsidRPr="00A72B6D">
        <w:rPr>
          <w:rFonts w:asciiTheme="minorHAnsi" w:hAnsiTheme="minorHAnsi" w:cstheme="minorHAnsi"/>
          <w:b/>
          <w:bCs/>
          <w:spacing w:val="-4"/>
          <w:sz w:val="24"/>
          <w:szCs w:val="24"/>
        </w:rPr>
        <w:t>3499.3</w:t>
      </w:r>
      <w:r w:rsidR="00A2281C" w:rsidRPr="00A2281C">
        <w:rPr>
          <w:rFonts w:asciiTheme="minorHAnsi" w:hAnsiTheme="minorHAnsi" w:cstheme="minorHAnsi"/>
          <w:spacing w:val="-4"/>
          <w:sz w:val="24"/>
          <w:szCs w:val="24"/>
        </w:rPr>
        <w:tab/>
        <w:t xml:space="preserve"> Per Diem Transportation Expenses: </w:t>
      </w:r>
    </w:p>
    <w:p w14:paraId="0A34D2D2" w14:textId="09C6A972" w:rsidR="00A2281C" w:rsidRPr="00A2281C" w:rsidRDefault="00DB6CFD" w:rsidP="00A47B45">
      <w:pPr>
        <w:ind w:left="0" w:right="72"/>
        <w:jc w:val="both"/>
        <w:textAlignment w:val="baseline"/>
        <w:rPr>
          <w:rFonts w:asciiTheme="minorHAnsi" w:hAnsiTheme="minorHAnsi" w:cstheme="minorHAnsi"/>
          <w:spacing w:val="-4"/>
          <w:sz w:val="24"/>
          <w:szCs w:val="24"/>
        </w:rPr>
      </w:pPr>
      <w:r>
        <w:rPr>
          <w:rFonts w:asciiTheme="minorHAnsi" w:hAnsiTheme="minorHAnsi" w:cstheme="minorHAnsi"/>
          <w:spacing w:val="-4"/>
          <w:sz w:val="24"/>
          <w:szCs w:val="24"/>
        </w:rPr>
        <w:t>When use of a District vehicle is not available, u</w:t>
      </w:r>
      <w:r w:rsidR="00A2281C" w:rsidRPr="00A2281C">
        <w:rPr>
          <w:rFonts w:asciiTheme="minorHAnsi" w:hAnsiTheme="minorHAnsi" w:cstheme="minorHAnsi"/>
          <w:spacing w:val="-4"/>
          <w:sz w:val="24"/>
          <w:szCs w:val="24"/>
        </w:rPr>
        <w:t xml:space="preserve">se of air, train, private </w:t>
      </w:r>
      <w:r w:rsidR="006E433F">
        <w:rPr>
          <w:rFonts w:asciiTheme="minorHAnsi" w:hAnsiTheme="minorHAnsi" w:cstheme="minorHAnsi"/>
          <w:spacing w:val="-4"/>
          <w:sz w:val="24"/>
          <w:szCs w:val="24"/>
        </w:rPr>
        <w:t>vehicle,</w:t>
      </w:r>
      <w:r w:rsidR="00A2281C" w:rsidRPr="00A2281C">
        <w:rPr>
          <w:rFonts w:asciiTheme="minorHAnsi" w:hAnsiTheme="minorHAnsi" w:cstheme="minorHAnsi"/>
          <w:spacing w:val="-4"/>
          <w:sz w:val="24"/>
          <w:szCs w:val="24"/>
        </w:rPr>
        <w:t xml:space="preserve"> or bus shall be selected </w:t>
      </w:r>
      <w:r w:rsidR="006E433F" w:rsidRPr="00A2281C">
        <w:rPr>
          <w:rFonts w:asciiTheme="minorHAnsi" w:hAnsiTheme="minorHAnsi" w:cstheme="minorHAnsi"/>
          <w:spacing w:val="-4"/>
          <w:sz w:val="24"/>
          <w:szCs w:val="24"/>
        </w:rPr>
        <w:t>based on</w:t>
      </w:r>
      <w:r w:rsidR="00A2281C" w:rsidRPr="00A2281C">
        <w:rPr>
          <w:rFonts w:asciiTheme="minorHAnsi" w:hAnsiTheme="minorHAnsi" w:cstheme="minorHAnsi"/>
          <w:spacing w:val="-4"/>
          <w:sz w:val="24"/>
          <w:szCs w:val="24"/>
        </w:rPr>
        <w:t xml:space="preserve"> the most reasonable and appropriate method, taking into consideration distance, </w:t>
      </w:r>
      <w:r w:rsidR="006E433F" w:rsidRPr="00A2281C">
        <w:rPr>
          <w:rFonts w:asciiTheme="minorHAnsi" w:hAnsiTheme="minorHAnsi" w:cstheme="minorHAnsi"/>
          <w:spacing w:val="-4"/>
          <w:sz w:val="24"/>
          <w:szCs w:val="24"/>
        </w:rPr>
        <w:t>time,</w:t>
      </w:r>
      <w:r w:rsidR="00A2281C" w:rsidRPr="00A2281C">
        <w:rPr>
          <w:rFonts w:asciiTheme="minorHAnsi" w:hAnsiTheme="minorHAnsi" w:cstheme="minorHAnsi"/>
          <w:spacing w:val="-4"/>
          <w:sz w:val="24"/>
          <w:szCs w:val="24"/>
        </w:rPr>
        <w:t xml:space="preserve"> and total costs to </w:t>
      </w:r>
      <w:r>
        <w:rPr>
          <w:rFonts w:asciiTheme="minorHAnsi" w:hAnsiTheme="minorHAnsi" w:cstheme="minorHAnsi"/>
          <w:spacing w:val="-4"/>
          <w:sz w:val="24"/>
          <w:szCs w:val="24"/>
        </w:rPr>
        <w:t>CCWD</w:t>
      </w:r>
      <w:r w:rsidR="00A2281C" w:rsidRPr="00A2281C">
        <w:rPr>
          <w:rFonts w:asciiTheme="minorHAnsi" w:hAnsiTheme="minorHAnsi" w:cstheme="minorHAnsi"/>
          <w:spacing w:val="-4"/>
          <w:sz w:val="24"/>
          <w:szCs w:val="24"/>
        </w:rPr>
        <w:t xml:space="preserve"> after all expense items are tabulated.</w:t>
      </w:r>
    </w:p>
    <w:p w14:paraId="0516EB66" w14:textId="6FD19D66" w:rsidR="00A2281C" w:rsidRPr="00DB6CFD" w:rsidRDefault="00A72B6D" w:rsidP="00A47B45">
      <w:pPr>
        <w:spacing w:before="120"/>
        <w:ind w:left="0" w:right="72"/>
        <w:jc w:val="both"/>
        <w:textAlignment w:val="baseline"/>
        <w:rPr>
          <w:rFonts w:asciiTheme="minorHAnsi" w:hAnsiTheme="minorHAnsi" w:cstheme="minorHAnsi"/>
          <w:spacing w:val="-4"/>
          <w:sz w:val="24"/>
          <w:szCs w:val="24"/>
        </w:rPr>
      </w:pPr>
      <w:r>
        <w:rPr>
          <w:rFonts w:asciiTheme="minorHAnsi" w:hAnsiTheme="minorHAnsi" w:cstheme="minorHAnsi"/>
          <w:spacing w:val="-4"/>
          <w:sz w:val="24"/>
          <w:szCs w:val="24"/>
        </w:rPr>
        <w:t>When</w:t>
      </w:r>
      <w:r w:rsidR="00A2281C" w:rsidRPr="00A2281C">
        <w:rPr>
          <w:rFonts w:asciiTheme="minorHAnsi" w:hAnsiTheme="minorHAnsi" w:cstheme="minorHAnsi"/>
          <w:spacing w:val="-4"/>
          <w:sz w:val="24"/>
          <w:szCs w:val="24"/>
        </w:rPr>
        <w:t xml:space="preserve"> use </w:t>
      </w:r>
      <w:r w:rsidR="00DB6CFD">
        <w:rPr>
          <w:rFonts w:asciiTheme="minorHAnsi" w:hAnsiTheme="minorHAnsi" w:cstheme="minorHAnsi"/>
          <w:spacing w:val="-4"/>
          <w:sz w:val="24"/>
          <w:szCs w:val="24"/>
        </w:rPr>
        <w:t>of a</w:t>
      </w:r>
      <w:r w:rsidR="00A2281C" w:rsidRPr="00A2281C">
        <w:rPr>
          <w:rFonts w:asciiTheme="minorHAnsi" w:hAnsiTheme="minorHAnsi" w:cstheme="minorHAnsi"/>
          <w:spacing w:val="-4"/>
          <w:sz w:val="24"/>
          <w:szCs w:val="24"/>
        </w:rPr>
        <w:t xml:space="preserve"> </w:t>
      </w:r>
      <w:r w:rsidR="00DB6CFD">
        <w:rPr>
          <w:rFonts w:asciiTheme="minorHAnsi" w:hAnsiTheme="minorHAnsi" w:cstheme="minorHAnsi"/>
          <w:spacing w:val="-4"/>
          <w:sz w:val="24"/>
          <w:szCs w:val="24"/>
        </w:rPr>
        <w:t>private vehicle</w:t>
      </w:r>
      <w:r w:rsidR="00A2281C" w:rsidRPr="00A2281C">
        <w:rPr>
          <w:rFonts w:asciiTheme="minorHAnsi" w:hAnsiTheme="minorHAnsi" w:cstheme="minorHAnsi"/>
          <w:spacing w:val="-4"/>
          <w:sz w:val="24"/>
          <w:szCs w:val="24"/>
        </w:rPr>
        <w:t xml:space="preserve"> </w:t>
      </w:r>
      <w:r w:rsidR="00DB6CFD">
        <w:rPr>
          <w:rFonts w:asciiTheme="minorHAnsi" w:hAnsiTheme="minorHAnsi" w:cstheme="minorHAnsi"/>
          <w:spacing w:val="-4"/>
          <w:sz w:val="24"/>
          <w:szCs w:val="24"/>
        </w:rPr>
        <w:t>is</w:t>
      </w:r>
      <w:r w:rsidR="00A2281C" w:rsidRPr="00A2281C">
        <w:rPr>
          <w:rFonts w:asciiTheme="minorHAnsi" w:hAnsiTheme="minorHAnsi" w:cstheme="minorHAnsi"/>
          <w:spacing w:val="-4"/>
          <w:sz w:val="24"/>
          <w:szCs w:val="24"/>
        </w:rPr>
        <w:t xml:space="preserve"> approved </w:t>
      </w:r>
      <w:r w:rsidR="00DB6CFD">
        <w:rPr>
          <w:rFonts w:asciiTheme="minorHAnsi" w:hAnsiTheme="minorHAnsi" w:cstheme="minorHAnsi"/>
          <w:spacing w:val="-4"/>
          <w:sz w:val="24"/>
          <w:szCs w:val="24"/>
        </w:rPr>
        <w:t xml:space="preserve">for District </w:t>
      </w:r>
      <w:r w:rsidR="00A2281C" w:rsidRPr="00A2281C">
        <w:rPr>
          <w:rFonts w:asciiTheme="minorHAnsi" w:hAnsiTheme="minorHAnsi" w:cstheme="minorHAnsi"/>
          <w:spacing w:val="-4"/>
          <w:sz w:val="24"/>
          <w:szCs w:val="24"/>
        </w:rPr>
        <w:t xml:space="preserve">business, </w:t>
      </w:r>
      <w:r w:rsidR="00DB6CFD">
        <w:rPr>
          <w:rFonts w:asciiTheme="minorHAnsi" w:hAnsiTheme="minorHAnsi" w:cstheme="minorHAnsi"/>
          <w:spacing w:val="-4"/>
          <w:sz w:val="24"/>
          <w:szCs w:val="24"/>
        </w:rPr>
        <w:t>CCWD</w:t>
      </w:r>
      <w:r w:rsidR="00A2281C" w:rsidRPr="00A2281C">
        <w:rPr>
          <w:rFonts w:asciiTheme="minorHAnsi" w:hAnsiTheme="minorHAnsi" w:cstheme="minorHAnsi"/>
          <w:spacing w:val="-4"/>
          <w:sz w:val="24"/>
          <w:szCs w:val="24"/>
        </w:rPr>
        <w:t xml:space="preserve"> will reimburse for mileage at the prevailing IRS reimbursement rate,</w:t>
      </w:r>
      <w:r w:rsidR="00A2281C" w:rsidRPr="00A2281C">
        <w:rPr>
          <w:rFonts w:asciiTheme="minorHAnsi" w:eastAsia="Arial" w:hAnsiTheme="minorHAnsi" w:cstheme="minorHAnsi"/>
          <w:color w:val="000000"/>
          <w:spacing w:val="0"/>
          <w:sz w:val="24"/>
          <w:szCs w:val="24"/>
        </w:rPr>
        <w:t xml:space="preserve"> which is intended to cover gas, oil, tires, repairs, and</w:t>
      </w:r>
    </w:p>
    <w:p w14:paraId="5B515742" w14:textId="6F625A8E" w:rsidR="00A2281C" w:rsidRPr="00A2281C" w:rsidRDefault="00A2281C" w:rsidP="00A2281C">
      <w:pPr>
        <w:spacing w:before="276" w:line="276" w:lineRule="exact"/>
        <w:ind w:left="0" w:right="72"/>
        <w:contextualSpacing/>
        <w:jc w:val="both"/>
        <w:textAlignment w:val="baseline"/>
        <w:rPr>
          <w:rFonts w:asciiTheme="minorHAnsi" w:hAnsiTheme="minorHAnsi" w:cstheme="minorHAnsi"/>
          <w:spacing w:val="-4"/>
          <w:sz w:val="24"/>
          <w:szCs w:val="24"/>
        </w:rPr>
      </w:pPr>
      <w:r w:rsidRPr="00A2281C">
        <w:rPr>
          <w:rFonts w:asciiTheme="minorHAnsi" w:eastAsia="Arial" w:hAnsiTheme="minorHAnsi" w:cstheme="minorHAnsi"/>
          <w:color w:val="000000"/>
          <w:spacing w:val="0"/>
          <w:sz w:val="24"/>
          <w:szCs w:val="24"/>
        </w:rPr>
        <w:t xml:space="preserve">automobile </w:t>
      </w:r>
      <w:r w:rsidR="006E433F" w:rsidRPr="00A2281C">
        <w:rPr>
          <w:rFonts w:asciiTheme="minorHAnsi" w:eastAsia="Arial" w:hAnsiTheme="minorHAnsi" w:cstheme="minorHAnsi"/>
          <w:color w:val="000000"/>
          <w:spacing w:val="0"/>
          <w:sz w:val="24"/>
          <w:szCs w:val="24"/>
        </w:rPr>
        <w:t>insurance</w:t>
      </w:r>
      <w:r w:rsidR="006E433F">
        <w:rPr>
          <w:rFonts w:asciiTheme="minorHAnsi" w:eastAsia="Arial" w:hAnsiTheme="minorHAnsi" w:cstheme="minorHAnsi"/>
          <w:color w:val="000000"/>
          <w:spacing w:val="0"/>
          <w:sz w:val="24"/>
          <w:szCs w:val="24"/>
        </w:rPr>
        <w:t>:</w:t>
      </w:r>
      <w:r w:rsidR="00A72B6D">
        <w:rPr>
          <w:rFonts w:asciiTheme="minorHAnsi" w:eastAsia="Arial" w:hAnsiTheme="minorHAnsi" w:cstheme="minorHAnsi"/>
          <w:color w:val="000000"/>
          <w:spacing w:val="0"/>
          <w:sz w:val="24"/>
          <w:szCs w:val="24"/>
        </w:rPr>
        <w:t xml:space="preserve"> “To” and “From” locations must be itemized on Expense Request form.</w:t>
      </w:r>
      <w:r w:rsidRPr="00A2281C">
        <w:rPr>
          <w:rFonts w:asciiTheme="minorHAnsi" w:eastAsia="Arial" w:hAnsiTheme="minorHAnsi" w:cstheme="minorHAnsi"/>
          <w:color w:val="000000"/>
          <w:spacing w:val="0"/>
          <w:sz w:val="24"/>
          <w:szCs w:val="24"/>
        </w:rPr>
        <w:t xml:space="preserve"> Use of a private vehicle on </w:t>
      </w:r>
      <w:r w:rsidR="00DB6CFD">
        <w:rPr>
          <w:rFonts w:asciiTheme="minorHAnsi" w:eastAsia="Arial" w:hAnsiTheme="minorHAnsi" w:cstheme="minorHAnsi"/>
          <w:color w:val="000000"/>
          <w:spacing w:val="0"/>
          <w:sz w:val="24"/>
          <w:szCs w:val="24"/>
        </w:rPr>
        <w:t>District</w:t>
      </w:r>
      <w:r w:rsidRPr="00A2281C">
        <w:rPr>
          <w:rFonts w:asciiTheme="minorHAnsi" w:eastAsia="Arial" w:hAnsiTheme="minorHAnsi" w:cstheme="minorHAnsi"/>
          <w:color w:val="000000"/>
          <w:spacing w:val="0"/>
          <w:sz w:val="24"/>
          <w:szCs w:val="24"/>
        </w:rPr>
        <w:t xml:space="preserve"> business requires the driver to possess a valid California driver’s license and to carry the minimum automobile insurance required by law and</w:t>
      </w:r>
      <w:r w:rsidR="00DB6CFD">
        <w:rPr>
          <w:rFonts w:asciiTheme="minorHAnsi" w:eastAsia="Arial" w:hAnsiTheme="minorHAnsi" w:cstheme="minorHAnsi"/>
          <w:color w:val="000000"/>
          <w:spacing w:val="0"/>
          <w:sz w:val="24"/>
          <w:szCs w:val="24"/>
        </w:rPr>
        <w:t xml:space="preserve"> CCWD </w:t>
      </w:r>
      <w:r w:rsidRPr="00A2281C">
        <w:rPr>
          <w:rFonts w:asciiTheme="minorHAnsi" w:eastAsia="Arial" w:hAnsiTheme="minorHAnsi" w:cstheme="minorHAnsi"/>
          <w:color w:val="000000"/>
          <w:spacing w:val="0"/>
          <w:sz w:val="24"/>
          <w:szCs w:val="24"/>
        </w:rPr>
        <w:t>retains the right to request proof of insurance.</w:t>
      </w:r>
      <w:r w:rsidRPr="00A2281C">
        <w:rPr>
          <w:rFonts w:asciiTheme="minorHAnsi" w:hAnsiTheme="minorHAnsi" w:cstheme="minorHAnsi"/>
          <w:spacing w:val="-4"/>
          <w:sz w:val="24"/>
          <w:szCs w:val="24"/>
        </w:rPr>
        <w:t xml:space="preserve"> </w:t>
      </w:r>
      <w:r w:rsidRPr="00A2281C">
        <w:rPr>
          <w:rFonts w:asciiTheme="minorHAnsi" w:eastAsia="Arial" w:hAnsiTheme="minorHAnsi" w:cstheme="minorHAnsi"/>
          <w:color w:val="000000"/>
          <w:spacing w:val="0"/>
          <w:sz w:val="24"/>
          <w:szCs w:val="24"/>
        </w:rPr>
        <w:t xml:space="preserve">Any damages to the vehicle or service repairs are of a personal nature and are not reimbursed by </w:t>
      </w:r>
      <w:r w:rsidR="00DB6CFD">
        <w:rPr>
          <w:rFonts w:asciiTheme="minorHAnsi" w:eastAsia="Arial" w:hAnsiTheme="minorHAnsi" w:cstheme="minorHAnsi"/>
          <w:color w:val="000000"/>
          <w:spacing w:val="0"/>
          <w:sz w:val="24"/>
          <w:szCs w:val="24"/>
        </w:rPr>
        <w:t>CCWD</w:t>
      </w:r>
      <w:r w:rsidRPr="00A2281C">
        <w:rPr>
          <w:rFonts w:asciiTheme="minorHAnsi" w:eastAsia="Arial" w:hAnsiTheme="minorHAnsi" w:cstheme="minorHAnsi"/>
          <w:color w:val="000000"/>
          <w:spacing w:val="0"/>
          <w:sz w:val="24"/>
          <w:szCs w:val="24"/>
        </w:rPr>
        <w:t>. Reimbursement for personal vehicle use will be based on the vehicle and not on the number of passengers</w:t>
      </w:r>
      <w:r w:rsidR="006E433F" w:rsidRPr="00A2281C">
        <w:rPr>
          <w:rFonts w:asciiTheme="minorHAnsi" w:eastAsia="Arial" w:hAnsiTheme="minorHAnsi" w:cstheme="minorHAnsi"/>
          <w:color w:val="000000"/>
          <w:spacing w:val="0"/>
          <w:sz w:val="24"/>
          <w:szCs w:val="24"/>
        </w:rPr>
        <w:t xml:space="preserve">. </w:t>
      </w:r>
    </w:p>
    <w:p w14:paraId="5A8D6973" w14:textId="77777777" w:rsidR="00A2281C" w:rsidRPr="00A2281C" w:rsidRDefault="00A2281C" w:rsidP="00A47B45">
      <w:pPr>
        <w:spacing w:before="120"/>
        <w:ind w:left="0" w:right="72"/>
        <w:jc w:val="both"/>
        <w:textAlignment w:val="baseline"/>
        <w:rPr>
          <w:rFonts w:asciiTheme="minorHAnsi" w:eastAsia="Arial" w:hAnsiTheme="minorHAnsi" w:cstheme="minorHAnsi"/>
          <w:color w:val="000000"/>
          <w:spacing w:val="0"/>
          <w:sz w:val="24"/>
          <w:szCs w:val="24"/>
        </w:rPr>
      </w:pPr>
      <w:r w:rsidRPr="00A2281C">
        <w:rPr>
          <w:rFonts w:asciiTheme="minorHAnsi" w:eastAsia="Arial" w:hAnsiTheme="minorHAnsi" w:cstheme="minorHAnsi"/>
          <w:color w:val="000000"/>
          <w:spacing w:val="0"/>
          <w:sz w:val="24"/>
          <w:szCs w:val="24"/>
        </w:rPr>
        <w:t>Expenses such as tolls and parking will be fully reimbursed upon presentation of the receipts therefor.</w:t>
      </w:r>
    </w:p>
    <w:p w14:paraId="7E133EE2" w14:textId="77777777" w:rsidR="00A2281C" w:rsidRPr="00A2281C" w:rsidRDefault="00A2281C" w:rsidP="00A47B45">
      <w:pPr>
        <w:spacing w:before="120"/>
        <w:ind w:left="0" w:right="72"/>
        <w:jc w:val="both"/>
        <w:textAlignment w:val="baseline"/>
        <w:rPr>
          <w:rFonts w:asciiTheme="minorHAnsi" w:eastAsia="Arial" w:hAnsiTheme="minorHAnsi" w:cstheme="minorHAnsi"/>
          <w:color w:val="000000"/>
          <w:spacing w:val="0"/>
          <w:sz w:val="24"/>
          <w:szCs w:val="24"/>
        </w:rPr>
      </w:pPr>
      <w:r w:rsidRPr="00A2281C">
        <w:rPr>
          <w:rFonts w:asciiTheme="minorHAnsi" w:eastAsia="Arial" w:hAnsiTheme="minorHAnsi" w:cstheme="minorHAnsi"/>
          <w:color w:val="000000"/>
          <w:spacing w:val="0"/>
          <w:sz w:val="24"/>
          <w:szCs w:val="24"/>
        </w:rPr>
        <w:t>When the use of public air carrier transportation is approved, travel for all personnel shall be in coach class or equivalent service.</w:t>
      </w:r>
    </w:p>
    <w:p w14:paraId="436069B3" w14:textId="4D59EABE" w:rsidR="00A2281C" w:rsidRPr="00A2281C" w:rsidRDefault="00A2281C" w:rsidP="00A47B45">
      <w:pPr>
        <w:spacing w:before="120"/>
        <w:ind w:left="0" w:right="72"/>
        <w:jc w:val="both"/>
        <w:textAlignment w:val="baseline"/>
        <w:rPr>
          <w:rFonts w:asciiTheme="minorHAnsi" w:eastAsia="Arial" w:hAnsiTheme="minorHAnsi" w:cstheme="minorHAnsi"/>
          <w:color w:val="000000"/>
          <w:spacing w:val="0"/>
          <w:sz w:val="24"/>
          <w:szCs w:val="24"/>
        </w:rPr>
      </w:pPr>
      <w:r w:rsidRPr="00A2281C">
        <w:rPr>
          <w:rFonts w:asciiTheme="minorHAnsi" w:eastAsia="Arial" w:hAnsiTheme="minorHAnsi" w:cstheme="minorHAnsi"/>
          <w:color w:val="000000"/>
          <w:spacing w:val="0"/>
          <w:sz w:val="24"/>
          <w:szCs w:val="24"/>
        </w:rPr>
        <w:t xml:space="preserve">While traveling, the use of rental vehicles is to be discouraged. Courtesy shuttle </w:t>
      </w:r>
      <w:r w:rsidR="00A72B6D">
        <w:rPr>
          <w:rFonts w:asciiTheme="minorHAnsi" w:eastAsia="Arial" w:hAnsiTheme="minorHAnsi" w:cstheme="minorHAnsi"/>
          <w:color w:val="000000"/>
          <w:spacing w:val="0"/>
          <w:sz w:val="24"/>
          <w:szCs w:val="24"/>
        </w:rPr>
        <w:t>or bus service</w:t>
      </w:r>
      <w:r w:rsidRPr="00A2281C">
        <w:rPr>
          <w:rFonts w:asciiTheme="minorHAnsi" w:eastAsia="Arial" w:hAnsiTheme="minorHAnsi" w:cstheme="minorHAnsi"/>
          <w:color w:val="000000"/>
          <w:spacing w:val="0"/>
          <w:sz w:val="24"/>
          <w:szCs w:val="24"/>
        </w:rPr>
        <w:t xml:space="preserve"> should be utilized between airports and meeting locations. When rental vehicles are </w:t>
      </w:r>
      <w:r w:rsidR="00A72B6D">
        <w:rPr>
          <w:rFonts w:asciiTheme="minorHAnsi" w:eastAsia="Arial" w:hAnsiTheme="minorHAnsi" w:cstheme="minorHAnsi"/>
          <w:color w:val="000000"/>
          <w:spacing w:val="0"/>
          <w:sz w:val="24"/>
          <w:szCs w:val="24"/>
        </w:rPr>
        <w:t xml:space="preserve">approved for </w:t>
      </w:r>
      <w:r w:rsidRPr="00A2281C">
        <w:rPr>
          <w:rFonts w:asciiTheme="minorHAnsi" w:eastAsia="Arial" w:hAnsiTheme="minorHAnsi" w:cstheme="minorHAnsi"/>
          <w:color w:val="000000"/>
          <w:spacing w:val="0"/>
          <w:sz w:val="24"/>
          <w:szCs w:val="24"/>
        </w:rPr>
        <w:t>use, the least expensive vehicle practical will be used.</w:t>
      </w:r>
    </w:p>
    <w:p w14:paraId="64C3CCC5" w14:textId="77777777" w:rsidR="00A2281C" w:rsidRPr="00A2281C" w:rsidRDefault="00A2281C" w:rsidP="00A2281C">
      <w:pPr>
        <w:spacing w:before="276"/>
        <w:ind w:left="0" w:right="72"/>
        <w:contextualSpacing/>
        <w:jc w:val="both"/>
        <w:textAlignment w:val="baseline"/>
        <w:rPr>
          <w:rFonts w:asciiTheme="minorHAnsi" w:hAnsiTheme="minorHAnsi" w:cstheme="minorHAnsi"/>
          <w:spacing w:val="-4"/>
          <w:sz w:val="24"/>
          <w:szCs w:val="24"/>
        </w:rPr>
      </w:pPr>
    </w:p>
    <w:p w14:paraId="46938C1D" w14:textId="7CA3C8AD" w:rsidR="00A2281C" w:rsidRPr="00A2281C" w:rsidRDefault="00A72B6D" w:rsidP="00A47B45">
      <w:pPr>
        <w:tabs>
          <w:tab w:val="left" w:pos="990"/>
        </w:tabs>
        <w:spacing w:before="120"/>
        <w:ind w:left="0" w:right="72"/>
        <w:jc w:val="both"/>
        <w:textAlignment w:val="baseline"/>
        <w:rPr>
          <w:rFonts w:asciiTheme="minorHAnsi" w:eastAsia="Arial" w:hAnsiTheme="minorHAnsi" w:cstheme="minorHAnsi"/>
          <w:color w:val="000000"/>
          <w:spacing w:val="0"/>
          <w:sz w:val="24"/>
          <w:szCs w:val="24"/>
        </w:rPr>
      </w:pPr>
      <w:r w:rsidRPr="00A72B6D">
        <w:rPr>
          <w:rFonts w:asciiTheme="minorHAnsi" w:hAnsiTheme="minorHAnsi" w:cstheme="minorHAnsi"/>
          <w:b/>
          <w:bCs/>
          <w:spacing w:val="-4"/>
          <w:sz w:val="24"/>
          <w:szCs w:val="24"/>
        </w:rPr>
        <w:t>1</w:t>
      </w:r>
      <w:r w:rsidR="00A2281C" w:rsidRPr="00A72B6D">
        <w:rPr>
          <w:rFonts w:asciiTheme="minorHAnsi" w:hAnsiTheme="minorHAnsi" w:cstheme="minorHAnsi"/>
          <w:b/>
          <w:bCs/>
          <w:spacing w:val="-4"/>
          <w:sz w:val="24"/>
          <w:szCs w:val="24"/>
        </w:rPr>
        <w:t>3499.4</w:t>
      </w:r>
      <w:r w:rsidR="00A2281C" w:rsidRPr="00A2281C">
        <w:rPr>
          <w:rFonts w:asciiTheme="minorHAnsi" w:hAnsiTheme="minorHAnsi" w:cstheme="minorHAnsi"/>
          <w:spacing w:val="-4"/>
          <w:sz w:val="24"/>
          <w:szCs w:val="24"/>
        </w:rPr>
        <w:tab/>
        <w:t xml:space="preserve"> Meal Expenses:</w:t>
      </w:r>
    </w:p>
    <w:p w14:paraId="2573199E" w14:textId="7CD3F3A3" w:rsidR="00A2281C" w:rsidRPr="00A2281C" w:rsidRDefault="00A2281C" w:rsidP="00A47B45">
      <w:pPr>
        <w:ind w:left="0" w:right="72"/>
        <w:jc w:val="both"/>
        <w:textAlignment w:val="baseline"/>
        <w:rPr>
          <w:rFonts w:asciiTheme="minorHAnsi" w:eastAsia="Arial" w:hAnsiTheme="minorHAnsi" w:cstheme="minorHAnsi"/>
          <w:color w:val="000000"/>
          <w:spacing w:val="6"/>
          <w:sz w:val="24"/>
          <w:szCs w:val="24"/>
        </w:rPr>
      </w:pPr>
      <w:r w:rsidRPr="00A2281C">
        <w:rPr>
          <w:rFonts w:asciiTheme="minorHAnsi" w:eastAsia="Arial" w:hAnsiTheme="minorHAnsi" w:cstheme="minorHAnsi"/>
          <w:color w:val="000000"/>
          <w:spacing w:val="6"/>
          <w:sz w:val="24"/>
          <w:szCs w:val="24"/>
        </w:rPr>
        <w:t xml:space="preserve">While traveling for </w:t>
      </w:r>
      <w:r w:rsidR="00A72B6D">
        <w:rPr>
          <w:rFonts w:asciiTheme="minorHAnsi" w:eastAsia="Arial" w:hAnsiTheme="minorHAnsi" w:cstheme="minorHAnsi"/>
          <w:color w:val="000000"/>
          <w:spacing w:val="6"/>
          <w:sz w:val="24"/>
          <w:szCs w:val="24"/>
        </w:rPr>
        <w:t>CCWD for more than 1 day</w:t>
      </w:r>
      <w:r w:rsidRPr="00A2281C">
        <w:rPr>
          <w:rFonts w:asciiTheme="minorHAnsi" w:eastAsia="Arial" w:hAnsiTheme="minorHAnsi" w:cstheme="minorHAnsi"/>
          <w:color w:val="000000"/>
          <w:spacing w:val="6"/>
          <w:sz w:val="24"/>
          <w:szCs w:val="24"/>
        </w:rPr>
        <w:t>, the following meal reimbursement rates apply:</w:t>
      </w:r>
    </w:p>
    <w:p w14:paraId="4BAA7726" w14:textId="01C21921" w:rsidR="00A2281C" w:rsidRPr="00145ED8" w:rsidRDefault="00A2281C" w:rsidP="00A2281C">
      <w:pPr>
        <w:numPr>
          <w:ilvl w:val="0"/>
          <w:numId w:val="26"/>
        </w:numPr>
        <w:spacing w:before="276"/>
        <w:ind w:right="72"/>
        <w:contextualSpacing/>
        <w:jc w:val="both"/>
        <w:textAlignment w:val="baseline"/>
        <w:rPr>
          <w:rFonts w:asciiTheme="minorHAnsi" w:eastAsia="Arial" w:hAnsiTheme="minorHAnsi" w:cstheme="minorHAnsi"/>
          <w:color w:val="000000"/>
          <w:spacing w:val="6"/>
          <w:sz w:val="24"/>
          <w:szCs w:val="24"/>
          <w:lang w:bidi="en-US"/>
        </w:rPr>
      </w:pPr>
      <w:r w:rsidRPr="00A2281C">
        <w:rPr>
          <w:rFonts w:asciiTheme="minorHAnsi" w:eastAsia="Arial" w:hAnsiTheme="minorHAnsi" w:cstheme="minorHAnsi"/>
          <w:color w:val="000000"/>
          <w:spacing w:val="6"/>
          <w:sz w:val="24"/>
          <w:szCs w:val="24"/>
          <w:lang w:bidi="en-US"/>
        </w:rPr>
        <w:t xml:space="preserve">If the work commitment requires that you leave your home before 7:00 am, you are eligible for re-imbursement </w:t>
      </w:r>
      <w:r w:rsidRPr="00145ED8">
        <w:rPr>
          <w:rFonts w:asciiTheme="minorHAnsi" w:eastAsia="Arial" w:hAnsiTheme="minorHAnsi" w:cstheme="minorHAnsi"/>
          <w:color w:val="000000"/>
          <w:spacing w:val="6"/>
          <w:sz w:val="24"/>
          <w:szCs w:val="24"/>
          <w:lang w:bidi="en-US"/>
        </w:rPr>
        <w:t>of breakfast in the amount up to $1</w:t>
      </w:r>
      <w:r w:rsidR="00145ED8" w:rsidRPr="00145ED8">
        <w:rPr>
          <w:rFonts w:asciiTheme="minorHAnsi" w:eastAsia="Arial" w:hAnsiTheme="minorHAnsi" w:cstheme="minorHAnsi"/>
          <w:color w:val="000000"/>
          <w:spacing w:val="6"/>
          <w:sz w:val="24"/>
          <w:szCs w:val="24"/>
          <w:lang w:bidi="en-US"/>
        </w:rPr>
        <w:t>3</w:t>
      </w:r>
      <w:r w:rsidRPr="00145ED8">
        <w:rPr>
          <w:rFonts w:asciiTheme="minorHAnsi" w:eastAsia="Arial" w:hAnsiTheme="minorHAnsi" w:cstheme="minorHAnsi"/>
          <w:color w:val="000000"/>
          <w:spacing w:val="6"/>
          <w:sz w:val="24"/>
          <w:szCs w:val="24"/>
          <w:lang w:bidi="en-US"/>
        </w:rPr>
        <w:t>.00.</w:t>
      </w:r>
    </w:p>
    <w:p w14:paraId="65A9C1D9" w14:textId="63FA17BD" w:rsidR="00A2281C" w:rsidRPr="00145ED8" w:rsidRDefault="00A2281C" w:rsidP="00A2281C">
      <w:pPr>
        <w:numPr>
          <w:ilvl w:val="0"/>
          <w:numId w:val="26"/>
        </w:numPr>
        <w:spacing w:before="276"/>
        <w:ind w:right="72"/>
        <w:contextualSpacing/>
        <w:textAlignment w:val="baseline"/>
        <w:rPr>
          <w:rFonts w:asciiTheme="minorHAnsi" w:eastAsia="Arial" w:hAnsiTheme="minorHAnsi" w:cstheme="minorHAnsi"/>
          <w:color w:val="000000"/>
          <w:spacing w:val="6"/>
          <w:sz w:val="24"/>
          <w:szCs w:val="24"/>
          <w:lang w:bidi="en-US"/>
        </w:rPr>
      </w:pPr>
      <w:r w:rsidRPr="00145ED8">
        <w:rPr>
          <w:rFonts w:asciiTheme="minorHAnsi" w:eastAsia="Arial" w:hAnsiTheme="minorHAnsi" w:cstheme="minorHAnsi"/>
          <w:color w:val="000000"/>
          <w:spacing w:val="6"/>
          <w:sz w:val="24"/>
          <w:szCs w:val="24"/>
          <w:lang w:bidi="en-US"/>
        </w:rPr>
        <w:t>If the work commitment requires that you</w:t>
      </w:r>
      <w:r w:rsidR="00A72B6D" w:rsidRPr="00145ED8">
        <w:rPr>
          <w:rFonts w:asciiTheme="minorHAnsi" w:eastAsia="Arial" w:hAnsiTheme="minorHAnsi" w:cstheme="minorHAnsi"/>
          <w:color w:val="000000"/>
          <w:spacing w:val="6"/>
          <w:sz w:val="24"/>
          <w:szCs w:val="24"/>
          <w:lang w:bidi="en-US"/>
        </w:rPr>
        <w:t xml:space="preserve"> </w:t>
      </w:r>
      <w:r w:rsidRPr="00145ED8">
        <w:rPr>
          <w:rFonts w:asciiTheme="minorHAnsi" w:eastAsia="Arial" w:hAnsiTheme="minorHAnsi" w:cstheme="minorHAnsi"/>
          <w:color w:val="000000"/>
          <w:spacing w:val="6"/>
          <w:sz w:val="24"/>
          <w:szCs w:val="24"/>
          <w:lang w:bidi="en-US"/>
        </w:rPr>
        <w:t xml:space="preserve">travel during the lunch hour, you are eligible for re-imbursement of </w:t>
      </w:r>
      <w:r w:rsidR="00A72B6D" w:rsidRPr="00145ED8">
        <w:rPr>
          <w:rFonts w:asciiTheme="minorHAnsi" w:eastAsia="Arial" w:hAnsiTheme="minorHAnsi" w:cstheme="minorHAnsi"/>
          <w:color w:val="000000"/>
          <w:spacing w:val="6"/>
          <w:sz w:val="24"/>
          <w:szCs w:val="24"/>
          <w:lang w:bidi="en-US"/>
        </w:rPr>
        <w:t xml:space="preserve">lunch in the amount </w:t>
      </w:r>
      <w:r w:rsidRPr="00145ED8">
        <w:rPr>
          <w:rFonts w:asciiTheme="minorHAnsi" w:eastAsia="Arial" w:hAnsiTheme="minorHAnsi" w:cstheme="minorHAnsi"/>
          <w:color w:val="000000"/>
          <w:spacing w:val="6"/>
          <w:sz w:val="24"/>
          <w:szCs w:val="24"/>
          <w:lang w:bidi="en-US"/>
        </w:rPr>
        <w:t>up to $1</w:t>
      </w:r>
      <w:r w:rsidR="00145ED8" w:rsidRPr="00145ED8">
        <w:rPr>
          <w:rFonts w:asciiTheme="minorHAnsi" w:eastAsia="Arial" w:hAnsiTheme="minorHAnsi" w:cstheme="minorHAnsi"/>
          <w:color w:val="000000"/>
          <w:spacing w:val="6"/>
          <w:sz w:val="24"/>
          <w:szCs w:val="24"/>
          <w:lang w:bidi="en-US"/>
        </w:rPr>
        <w:t>5</w:t>
      </w:r>
      <w:r w:rsidRPr="00145ED8">
        <w:rPr>
          <w:rFonts w:asciiTheme="minorHAnsi" w:eastAsia="Arial" w:hAnsiTheme="minorHAnsi" w:cstheme="minorHAnsi"/>
          <w:color w:val="000000"/>
          <w:spacing w:val="6"/>
          <w:sz w:val="24"/>
          <w:szCs w:val="24"/>
          <w:lang w:bidi="en-US"/>
        </w:rPr>
        <w:t>.00.</w:t>
      </w:r>
    </w:p>
    <w:p w14:paraId="3C7E81E4" w14:textId="6D788194" w:rsidR="00A2281C" w:rsidRPr="00145ED8" w:rsidRDefault="00A2281C" w:rsidP="00A2281C">
      <w:pPr>
        <w:numPr>
          <w:ilvl w:val="0"/>
          <w:numId w:val="26"/>
        </w:numPr>
        <w:spacing w:before="276"/>
        <w:ind w:right="72"/>
        <w:contextualSpacing/>
        <w:jc w:val="both"/>
        <w:textAlignment w:val="baseline"/>
        <w:rPr>
          <w:rFonts w:asciiTheme="minorHAnsi" w:eastAsia="Arial" w:hAnsiTheme="minorHAnsi" w:cstheme="minorHAnsi"/>
          <w:color w:val="000000"/>
          <w:spacing w:val="6"/>
          <w:sz w:val="24"/>
          <w:szCs w:val="24"/>
          <w:lang w:bidi="en-US"/>
        </w:rPr>
      </w:pPr>
      <w:r w:rsidRPr="00145ED8">
        <w:rPr>
          <w:rFonts w:asciiTheme="minorHAnsi" w:eastAsia="Arial" w:hAnsiTheme="minorHAnsi" w:cstheme="minorHAnsi"/>
          <w:color w:val="000000"/>
          <w:spacing w:val="6"/>
          <w:sz w:val="24"/>
          <w:szCs w:val="24"/>
          <w:lang w:bidi="en-US"/>
        </w:rPr>
        <w:t>If the work commitment requires that you travel</w:t>
      </w:r>
      <w:r w:rsidR="00A72B6D" w:rsidRPr="00145ED8">
        <w:rPr>
          <w:rFonts w:asciiTheme="minorHAnsi" w:eastAsia="Arial" w:hAnsiTheme="minorHAnsi" w:cstheme="minorHAnsi"/>
          <w:color w:val="000000"/>
          <w:spacing w:val="6"/>
          <w:sz w:val="24"/>
          <w:szCs w:val="24"/>
          <w:lang w:bidi="en-US"/>
        </w:rPr>
        <w:t xml:space="preserve"> after 6:00 pm</w:t>
      </w:r>
      <w:r w:rsidRPr="00145ED8">
        <w:rPr>
          <w:rFonts w:asciiTheme="minorHAnsi" w:eastAsia="Arial" w:hAnsiTheme="minorHAnsi" w:cstheme="minorHAnsi"/>
          <w:color w:val="000000"/>
          <w:spacing w:val="6"/>
          <w:sz w:val="24"/>
          <w:szCs w:val="24"/>
          <w:lang w:bidi="en-US"/>
        </w:rPr>
        <w:t xml:space="preserve">, you are eligible for re-imbursement of </w:t>
      </w:r>
      <w:r w:rsidR="008F0473" w:rsidRPr="00145ED8">
        <w:rPr>
          <w:rFonts w:asciiTheme="minorHAnsi" w:eastAsia="Arial" w:hAnsiTheme="minorHAnsi" w:cstheme="minorHAnsi"/>
          <w:color w:val="000000"/>
          <w:spacing w:val="6"/>
          <w:sz w:val="24"/>
          <w:szCs w:val="24"/>
          <w:lang w:bidi="en-US"/>
        </w:rPr>
        <w:t xml:space="preserve">dinner in the amount </w:t>
      </w:r>
      <w:r w:rsidRPr="00145ED8">
        <w:rPr>
          <w:rFonts w:asciiTheme="minorHAnsi" w:eastAsia="Arial" w:hAnsiTheme="minorHAnsi" w:cstheme="minorHAnsi"/>
          <w:color w:val="000000"/>
          <w:spacing w:val="6"/>
          <w:sz w:val="24"/>
          <w:szCs w:val="24"/>
          <w:lang w:bidi="en-US"/>
        </w:rPr>
        <w:t>up to $</w:t>
      </w:r>
      <w:r w:rsidR="00145ED8" w:rsidRPr="00145ED8">
        <w:rPr>
          <w:rFonts w:asciiTheme="minorHAnsi" w:eastAsia="Arial" w:hAnsiTheme="minorHAnsi" w:cstheme="minorHAnsi"/>
          <w:color w:val="000000"/>
          <w:spacing w:val="6"/>
          <w:sz w:val="24"/>
          <w:szCs w:val="24"/>
          <w:lang w:bidi="en-US"/>
        </w:rPr>
        <w:t>26</w:t>
      </w:r>
      <w:r w:rsidRPr="00145ED8">
        <w:rPr>
          <w:rFonts w:asciiTheme="minorHAnsi" w:eastAsia="Arial" w:hAnsiTheme="minorHAnsi" w:cstheme="minorHAnsi"/>
          <w:color w:val="000000"/>
          <w:spacing w:val="6"/>
          <w:sz w:val="24"/>
          <w:szCs w:val="24"/>
          <w:lang w:bidi="en-US"/>
        </w:rPr>
        <w:t>.00.</w:t>
      </w:r>
    </w:p>
    <w:p w14:paraId="5C49DC6C" w14:textId="2DA567C9" w:rsidR="00A2281C" w:rsidRPr="00A2281C" w:rsidRDefault="00A2281C" w:rsidP="00A47B45">
      <w:pPr>
        <w:spacing w:before="120"/>
        <w:ind w:left="0" w:right="72"/>
        <w:jc w:val="both"/>
        <w:textAlignment w:val="baseline"/>
        <w:rPr>
          <w:rFonts w:asciiTheme="minorHAnsi" w:eastAsia="Arial" w:hAnsiTheme="minorHAnsi" w:cstheme="minorHAnsi"/>
          <w:color w:val="000000"/>
          <w:spacing w:val="0"/>
          <w:sz w:val="24"/>
          <w:szCs w:val="24"/>
        </w:rPr>
      </w:pPr>
      <w:r w:rsidRPr="00145ED8">
        <w:rPr>
          <w:rFonts w:asciiTheme="minorHAnsi" w:eastAsia="Arial" w:hAnsiTheme="minorHAnsi" w:cstheme="minorHAnsi"/>
          <w:color w:val="000000"/>
          <w:spacing w:val="6"/>
          <w:sz w:val="24"/>
          <w:szCs w:val="24"/>
        </w:rPr>
        <w:t>In addition, the maximum daily meal allowance is $</w:t>
      </w:r>
      <w:r w:rsidR="00145ED8" w:rsidRPr="00145ED8">
        <w:rPr>
          <w:rFonts w:asciiTheme="minorHAnsi" w:eastAsia="Arial" w:hAnsiTheme="minorHAnsi" w:cstheme="minorHAnsi"/>
          <w:color w:val="000000"/>
          <w:spacing w:val="6"/>
          <w:sz w:val="24"/>
          <w:szCs w:val="24"/>
        </w:rPr>
        <w:t>59</w:t>
      </w:r>
      <w:r w:rsidRPr="00145ED8">
        <w:rPr>
          <w:rFonts w:asciiTheme="minorHAnsi" w:eastAsia="Arial" w:hAnsiTheme="minorHAnsi" w:cstheme="minorHAnsi"/>
          <w:color w:val="000000"/>
          <w:spacing w:val="6"/>
          <w:sz w:val="24"/>
          <w:szCs w:val="24"/>
        </w:rPr>
        <w:t>.00 (which includes taxes and tips) per day</w:t>
      </w:r>
      <w:r w:rsidR="00145ED8" w:rsidRPr="00145ED8">
        <w:rPr>
          <w:rFonts w:asciiTheme="minorHAnsi" w:eastAsia="Arial" w:hAnsiTheme="minorHAnsi" w:cstheme="minorHAnsi"/>
          <w:color w:val="000000"/>
          <w:spacing w:val="6"/>
          <w:sz w:val="24"/>
          <w:szCs w:val="24"/>
        </w:rPr>
        <w:t>, except the first and last day of travel, which have a maximum daily meal allowance of $44.25</w:t>
      </w:r>
      <w:r w:rsidRPr="00145ED8">
        <w:rPr>
          <w:rFonts w:asciiTheme="minorHAnsi" w:eastAsia="Arial" w:hAnsiTheme="minorHAnsi" w:cstheme="minorHAnsi"/>
          <w:color w:val="000000"/>
          <w:spacing w:val="6"/>
          <w:sz w:val="24"/>
          <w:szCs w:val="24"/>
        </w:rPr>
        <w:t>, as established by the United States General Services Administration</w:t>
      </w:r>
      <w:r w:rsidR="00145ED8">
        <w:rPr>
          <w:rFonts w:asciiTheme="minorHAnsi" w:eastAsia="Arial" w:hAnsiTheme="minorHAnsi" w:cstheme="minorHAnsi"/>
          <w:color w:val="000000"/>
          <w:spacing w:val="6"/>
          <w:sz w:val="24"/>
          <w:szCs w:val="24"/>
        </w:rPr>
        <w:t xml:space="preserve"> for the 95461 zip code</w:t>
      </w:r>
      <w:r w:rsidRPr="00145ED8">
        <w:rPr>
          <w:rFonts w:asciiTheme="minorHAnsi" w:eastAsia="Arial" w:hAnsiTheme="minorHAnsi" w:cstheme="minorHAnsi"/>
          <w:color w:val="000000"/>
          <w:spacing w:val="6"/>
          <w:sz w:val="24"/>
          <w:szCs w:val="24"/>
        </w:rPr>
        <w:t>. Expenses shall not exceed the daily meal limit amounts set,</w:t>
      </w:r>
      <w:r w:rsidRPr="00A2281C">
        <w:rPr>
          <w:rFonts w:asciiTheme="minorHAnsi" w:eastAsia="Arial" w:hAnsiTheme="minorHAnsi" w:cstheme="minorHAnsi"/>
          <w:color w:val="000000"/>
          <w:spacing w:val="6"/>
          <w:sz w:val="24"/>
          <w:szCs w:val="24"/>
        </w:rPr>
        <w:t xml:space="preserve"> regardless of </w:t>
      </w:r>
      <w:r w:rsidRPr="00A2281C">
        <w:rPr>
          <w:rFonts w:asciiTheme="minorHAnsi" w:eastAsia="Arial" w:hAnsiTheme="minorHAnsi" w:cstheme="minorHAnsi"/>
          <w:color w:val="000000"/>
          <w:spacing w:val="6"/>
          <w:sz w:val="24"/>
          <w:szCs w:val="24"/>
        </w:rPr>
        <w:lastRenderedPageBreak/>
        <w:t xml:space="preserve">the total amount reflected on the receipts </w:t>
      </w:r>
      <w:r w:rsidRPr="00A2281C">
        <w:rPr>
          <w:rFonts w:asciiTheme="minorHAnsi" w:eastAsia="Arial" w:hAnsiTheme="minorHAnsi" w:cstheme="minorHAnsi"/>
          <w:color w:val="000000"/>
          <w:spacing w:val="0"/>
          <w:sz w:val="24"/>
          <w:szCs w:val="24"/>
        </w:rPr>
        <w:t xml:space="preserve">submitted. Meals that are included in </w:t>
      </w:r>
      <w:r w:rsidR="006E433F" w:rsidRPr="00A2281C">
        <w:rPr>
          <w:rFonts w:asciiTheme="minorHAnsi" w:eastAsia="Arial" w:hAnsiTheme="minorHAnsi" w:cstheme="minorHAnsi"/>
          <w:color w:val="000000"/>
          <w:spacing w:val="0"/>
          <w:sz w:val="24"/>
          <w:szCs w:val="24"/>
        </w:rPr>
        <w:t>the conference</w:t>
      </w:r>
      <w:r w:rsidRPr="00A2281C">
        <w:rPr>
          <w:rFonts w:asciiTheme="minorHAnsi" w:eastAsia="Arial" w:hAnsiTheme="minorHAnsi" w:cstheme="minorHAnsi"/>
          <w:color w:val="000000"/>
          <w:spacing w:val="0"/>
          <w:sz w:val="24"/>
          <w:szCs w:val="24"/>
        </w:rPr>
        <w:t xml:space="preserve"> registration fees will not be an allowable expense.</w:t>
      </w:r>
    </w:p>
    <w:p w14:paraId="1899F7D9" w14:textId="77777777" w:rsidR="00A2281C" w:rsidRPr="00A2281C" w:rsidRDefault="00A2281C" w:rsidP="00A47B45">
      <w:pPr>
        <w:spacing w:before="120"/>
        <w:ind w:left="0" w:right="72"/>
        <w:jc w:val="both"/>
        <w:textAlignment w:val="baseline"/>
        <w:rPr>
          <w:rFonts w:asciiTheme="minorHAnsi" w:eastAsia="Arial" w:hAnsiTheme="minorHAnsi" w:cstheme="minorHAnsi"/>
          <w:color w:val="000000"/>
          <w:spacing w:val="0"/>
          <w:sz w:val="24"/>
          <w:szCs w:val="24"/>
        </w:rPr>
      </w:pPr>
      <w:r w:rsidRPr="00A2281C">
        <w:rPr>
          <w:rFonts w:asciiTheme="minorHAnsi" w:eastAsia="Arial" w:hAnsiTheme="minorHAnsi" w:cstheme="minorHAnsi"/>
          <w:color w:val="000000"/>
          <w:spacing w:val="0"/>
          <w:sz w:val="24"/>
          <w:szCs w:val="24"/>
        </w:rPr>
        <w:t>If the rates set by the United States General Services Administration exceed those established in this policy, the federal government rates/allowances shall supersede.</w:t>
      </w:r>
    </w:p>
    <w:p w14:paraId="65C606CA" w14:textId="77777777" w:rsidR="00A2281C" w:rsidRPr="00A2281C" w:rsidRDefault="00A2281C" w:rsidP="00A2281C">
      <w:pPr>
        <w:spacing w:before="276" w:line="276" w:lineRule="exact"/>
        <w:ind w:left="0" w:right="72"/>
        <w:contextualSpacing/>
        <w:jc w:val="both"/>
        <w:textAlignment w:val="baseline"/>
        <w:rPr>
          <w:rFonts w:asciiTheme="minorHAnsi" w:hAnsiTheme="minorHAnsi" w:cstheme="minorHAnsi"/>
          <w:spacing w:val="-4"/>
          <w:sz w:val="24"/>
          <w:szCs w:val="24"/>
        </w:rPr>
      </w:pPr>
    </w:p>
    <w:p w14:paraId="78FF4DBE" w14:textId="1EFD0D48" w:rsidR="00A2281C" w:rsidRPr="00A2281C" w:rsidRDefault="008F0473" w:rsidP="00A47B45">
      <w:pPr>
        <w:tabs>
          <w:tab w:val="left" w:pos="990"/>
        </w:tabs>
        <w:spacing w:before="120"/>
        <w:ind w:left="0" w:right="72"/>
        <w:jc w:val="both"/>
        <w:textAlignment w:val="baseline"/>
        <w:rPr>
          <w:rFonts w:asciiTheme="minorHAnsi" w:eastAsia="Arial" w:hAnsiTheme="minorHAnsi" w:cstheme="minorHAnsi"/>
          <w:color w:val="000000"/>
          <w:spacing w:val="0"/>
          <w:sz w:val="24"/>
          <w:szCs w:val="24"/>
        </w:rPr>
      </w:pPr>
      <w:r w:rsidRPr="008F0473">
        <w:rPr>
          <w:rFonts w:asciiTheme="minorHAnsi" w:hAnsiTheme="minorHAnsi" w:cstheme="minorHAnsi"/>
          <w:b/>
          <w:bCs/>
          <w:spacing w:val="-4"/>
          <w:sz w:val="24"/>
          <w:szCs w:val="24"/>
        </w:rPr>
        <w:t>1</w:t>
      </w:r>
      <w:r w:rsidR="00A2281C" w:rsidRPr="008F0473">
        <w:rPr>
          <w:rFonts w:asciiTheme="minorHAnsi" w:hAnsiTheme="minorHAnsi" w:cstheme="minorHAnsi"/>
          <w:b/>
          <w:bCs/>
          <w:spacing w:val="-4"/>
          <w:sz w:val="24"/>
          <w:szCs w:val="24"/>
        </w:rPr>
        <w:t>3499.5</w:t>
      </w:r>
      <w:r w:rsidR="00A2281C" w:rsidRPr="00A2281C">
        <w:rPr>
          <w:rFonts w:asciiTheme="minorHAnsi" w:hAnsiTheme="minorHAnsi" w:cstheme="minorHAnsi"/>
          <w:spacing w:val="-4"/>
          <w:sz w:val="24"/>
          <w:szCs w:val="24"/>
        </w:rPr>
        <w:tab/>
        <w:t xml:space="preserve"> Lodging Expenses:</w:t>
      </w:r>
    </w:p>
    <w:p w14:paraId="75567478" w14:textId="65061856" w:rsidR="00A2281C" w:rsidRPr="00A2281C" w:rsidRDefault="00A2281C" w:rsidP="005264AE">
      <w:pPr>
        <w:ind w:left="0" w:right="72"/>
        <w:jc w:val="both"/>
        <w:textAlignment w:val="baseline"/>
        <w:rPr>
          <w:rFonts w:asciiTheme="minorHAnsi" w:eastAsia="Arial" w:hAnsiTheme="minorHAnsi" w:cstheme="minorHAnsi"/>
          <w:color w:val="000000"/>
          <w:spacing w:val="0"/>
          <w:sz w:val="24"/>
          <w:szCs w:val="24"/>
        </w:rPr>
      </w:pPr>
      <w:r w:rsidRPr="00A2281C">
        <w:rPr>
          <w:rFonts w:asciiTheme="minorHAnsi" w:eastAsia="Arial" w:hAnsiTheme="minorHAnsi" w:cstheme="minorHAnsi"/>
          <w:color w:val="000000"/>
          <w:spacing w:val="0"/>
          <w:sz w:val="24"/>
          <w:szCs w:val="24"/>
        </w:rPr>
        <w:t xml:space="preserve">The cost of lodging </w:t>
      </w:r>
      <w:r w:rsidR="006E433F" w:rsidRPr="00A2281C">
        <w:rPr>
          <w:rFonts w:asciiTheme="minorHAnsi" w:eastAsia="Arial" w:hAnsiTheme="minorHAnsi" w:cstheme="minorHAnsi"/>
          <w:color w:val="000000"/>
          <w:spacing w:val="0"/>
          <w:sz w:val="24"/>
          <w:szCs w:val="24"/>
        </w:rPr>
        <w:t>accommodation</w:t>
      </w:r>
      <w:r w:rsidRPr="00A2281C">
        <w:rPr>
          <w:rFonts w:asciiTheme="minorHAnsi" w:eastAsia="Arial" w:hAnsiTheme="minorHAnsi" w:cstheme="minorHAnsi"/>
          <w:color w:val="000000"/>
          <w:spacing w:val="0"/>
          <w:sz w:val="24"/>
          <w:szCs w:val="24"/>
        </w:rPr>
        <w:t xml:space="preserve"> for approved conferences, seminars or meetings will be arranged in advance directly by</w:t>
      </w:r>
      <w:r w:rsidR="00145ED8">
        <w:rPr>
          <w:rFonts w:asciiTheme="minorHAnsi" w:eastAsia="Arial" w:hAnsiTheme="minorHAnsi" w:cstheme="minorHAnsi"/>
          <w:color w:val="000000"/>
          <w:spacing w:val="0"/>
          <w:sz w:val="24"/>
          <w:szCs w:val="24"/>
        </w:rPr>
        <w:t xml:space="preserve"> CCWD</w:t>
      </w:r>
      <w:r w:rsidRPr="00A2281C">
        <w:rPr>
          <w:rFonts w:asciiTheme="minorHAnsi" w:eastAsia="Arial" w:hAnsiTheme="minorHAnsi" w:cstheme="minorHAnsi"/>
          <w:color w:val="000000"/>
          <w:spacing w:val="0"/>
          <w:sz w:val="24"/>
          <w:szCs w:val="24"/>
        </w:rPr>
        <w:t xml:space="preserve"> staff or reimbursed to the employee as outlined in the following paragraphs. In the case of advance arrangements, a check will be issued to the traveler prior to departure which will cover all hotel/motel charges, including parking.</w:t>
      </w:r>
    </w:p>
    <w:p w14:paraId="10BF28F1" w14:textId="2424685F" w:rsidR="00A2281C" w:rsidRPr="00A2281C" w:rsidRDefault="00A2281C" w:rsidP="00A47B45">
      <w:pPr>
        <w:spacing w:before="120"/>
        <w:ind w:left="0" w:right="72"/>
        <w:jc w:val="both"/>
        <w:textAlignment w:val="baseline"/>
        <w:rPr>
          <w:rFonts w:asciiTheme="minorHAnsi" w:eastAsia="Arial" w:hAnsiTheme="minorHAnsi" w:cstheme="minorHAnsi"/>
          <w:color w:val="000000"/>
          <w:spacing w:val="0"/>
          <w:sz w:val="24"/>
          <w:szCs w:val="24"/>
        </w:rPr>
      </w:pPr>
      <w:r w:rsidRPr="00A2281C">
        <w:rPr>
          <w:rFonts w:asciiTheme="minorHAnsi" w:eastAsia="Arial" w:hAnsiTheme="minorHAnsi" w:cstheme="minorHAnsi"/>
          <w:color w:val="000000"/>
          <w:spacing w:val="3"/>
          <w:sz w:val="24"/>
          <w:szCs w:val="24"/>
        </w:rPr>
        <w:t xml:space="preserve">Hotel and motel charges shall be based on single occupancy rates. </w:t>
      </w:r>
      <w:r w:rsidR="00145ED8">
        <w:rPr>
          <w:rFonts w:asciiTheme="minorHAnsi" w:eastAsia="Arial" w:hAnsiTheme="minorHAnsi" w:cstheme="minorHAnsi"/>
          <w:color w:val="000000"/>
          <w:spacing w:val="3"/>
          <w:sz w:val="24"/>
          <w:szCs w:val="24"/>
        </w:rPr>
        <w:t>CCWD</w:t>
      </w:r>
      <w:r w:rsidRPr="00A2281C">
        <w:rPr>
          <w:rFonts w:asciiTheme="minorHAnsi" w:eastAsia="Arial" w:hAnsiTheme="minorHAnsi" w:cstheme="minorHAnsi"/>
          <w:color w:val="000000"/>
          <w:spacing w:val="3"/>
          <w:sz w:val="24"/>
          <w:szCs w:val="24"/>
        </w:rPr>
        <w:t xml:space="preserve"> will not reimburse employees for lodging expenses incurred by family members when an employee’s family accompanies them, or for any charges for additional guests in the same room. Under no circumstances should lodging expenses exceed </w:t>
      </w:r>
      <w:r w:rsidR="00C451E1">
        <w:rPr>
          <w:rFonts w:asciiTheme="minorHAnsi" w:eastAsia="Arial" w:hAnsiTheme="minorHAnsi" w:cstheme="minorHAnsi"/>
          <w:color w:val="000000"/>
          <w:spacing w:val="3"/>
          <w:sz w:val="24"/>
          <w:szCs w:val="24"/>
        </w:rPr>
        <w:t xml:space="preserve">rates established by the United States General Services Administration for destination zip code. Prior Board Approval is required for rates exceeding </w:t>
      </w:r>
      <w:r w:rsidRPr="00A2281C">
        <w:rPr>
          <w:rFonts w:asciiTheme="minorHAnsi" w:eastAsia="Arial" w:hAnsiTheme="minorHAnsi" w:cstheme="minorHAnsi"/>
          <w:color w:val="000000"/>
          <w:spacing w:val="3"/>
          <w:sz w:val="24"/>
          <w:szCs w:val="24"/>
        </w:rPr>
        <w:t>the conference hotel rate. In instances where conference hotels are filled, the employee should attempt to secure comparable rates at the nearest hotel.</w:t>
      </w:r>
    </w:p>
    <w:p w14:paraId="10925715" w14:textId="77777777" w:rsidR="00A2281C" w:rsidRPr="00A2281C" w:rsidRDefault="00A2281C" w:rsidP="00A2281C">
      <w:pPr>
        <w:spacing w:before="282" w:line="276" w:lineRule="exact"/>
        <w:ind w:left="0"/>
        <w:contextualSpacing/>
        <w:jc w:val="both"/>
        <w:textAlignment w:val="baseline"/>
        <w:rPr>
          <w:rFonts w:asciiTheme="minorHAnsi" w:hAnsiTheme="minorHAnsi" w:cstheme="minorHAnsi"/>
          <w:spacing w:val="-4"/>
          <w:sz w:val="24"/>
          <w:szCs w:val="24"/>
        </w:rPr>
      </w:pPr>
    </w:p>
    <w:p w14:paraId="59237693" w14:textId="268E4D44" w:rsidR="00A2281C" w:rsidRPr="00A2281C" w:rsidRDefault="00145ED8" w:rsidP="00A47B45">
      <w:pPr>
        <w:tabs>
          <w:tab w:val="left" w:pos="990"/>
        </w:tabs>
        <w:spacing w:before="120"/>
        <w:ind w:left="0"/>
        <w:jc w:val="both"/>
        <w:textAlignment w:val="baseline"/>
        <w:rPr>
          <w:rFonts w:asciiTheme="minorHAnsi" w:eastAsia="Arial" w:hAnsiTheme="minorHAnsi" w:cstheme="minorHAnsi"/>
          <w:b/>
          <w:color w:val="000000"/>
          <w:spacing w:val="1"/>
          <w:sz w:val="24"/>
          <w:szCs w:val="24"/>
        </w:rPr>
      </w:pPr>
      <w:r w:rsidRPr="00145ED8">
        <w:rPr>
          <w:rFonts w:asciiTheme="minorHAnsi" w:hAnsiTheme="minorHAnsi" w:cstheme="minorHAnsi"/>
          <w:b/>
          <w:bCs/>
          <w:spacing w:val="-4"/>
          <w:sz w:val="24"/>
          <w:szCs w:val="24"/>
        </w:rPr>
        <w:t>1</w:t>
      </w:r>
      <w:r w:rsidR="00A2281C" w:rsidRPr="00145ED8">
        <w:rPr>
          <w:rFonts w:asciiTheme="minorHAnsi" w:hAnsiTheme="minorHAnsi" w:cstheme="minorHAnsi"/>
          <w:b/>
          <w:bCs/>
          <w:spacing w:val="-4"/>
          <w:sz w:val="24"/>
          <w:szCs w:val="24"/>
        </w:rPr>
        <w:t>3499.6</w:t>
      </w:r>
      <w:r w:rsidR="00A2281C" w:rsidRPr="00A2281C">
        <w:rPr>
          <w:rFonts w:asciiTheme="minorHAnsi" w:hAnsiTheme="minorHAnsi" w:cstheme="minorHAnsi"/>
          <w:spacing w:val="-4"/>
          <w:sz w:val="24"/>
          <w:szCs w:val="24"/>
        </w:rPr>
        <w:tab/>
        <w:t xml:space="preserve"> Unauthorized Expenses:</w:t>
      </w:r>
    </w:p>
    <w:p w14:paraId="4088DD37" w14:textId="0C9F4F00" w:rsidR="00A2281C" w:rsidRPr="00A2281C" w:rsidRDefault="00A2281C" w:rsidP="005264AE">
      <w:pPr>
        <w:ind w:left="0"/>
        <w:jc w:val="both"/>
        <w:textAlignment w:val="baseline"/>
        <w:rPr>
          <w:rFonts w:asciiTheme="minorHAnsi" w:eastAsia="Arial" w:hAnsiTheme="minorHAnsi" w:cstheme="minorHAnsi"/>
          <w:b/>
          <w:color w:val="000000"/>
          <w:spacing w:val="1"/>
          <w:sz w:val="24"/>
          <w:szCs w:val="24"/>
        </w:rPr>
      </w:pPr>
      <w:r w:rsidRPr="00A2281C">
        <w:rPr>
          <w:rFonts w:asciiTheme="minorHAnsi" w:eastAsia="Arial" w:hAnsiTheme="minorHAnsi" w:cstheme="minorHAnsi"/>
          <w:color w:val="000000"/>
          <w:spacing w:val="0"/>
          <w:sz w:val="24"/>
          <w:szCs w:val="24"/>
        </w:rPr>
        <w:t xml:space="preserve">Items of personal nature are not reimbursable including: movies, entertainment, premium television services, alcoholic beverages, dry-cleaning, spas, gyms, barber, magazines, shoeshine, </w:t>
      </w:r>
      <w:r w:rsidR="00BC6314">
        <w:rPr>
          <w:rFonts w:asciiTheme="minorHAnsi" w:eastAsia="Arial" w:hAnsiTheme="minorHAnsi" w:cstheme="minorHAnsi"/>
          <w:color w:val="000000"/>
          <w:spacing w:val="0"/>
          <w:sz w:val="24"/>
          <w:szCs w:val="24"/>
        </w:rPr>
        <w:t xml:space="preserve">phone or </w:t>
      </w:r>
      <w:r w:rsidRPr="00A2281C">
        <w:rPr>
          <w:rFonts w:asciiTheme="minorHAnsi" w:eastAsia="Arial" w:hAnsiTheme="minorHAnsi" w:cstheme="minorHAnsi"/>
          <w:color w:val="000000"/>
          <w:spacing w:val="0"/>
          <w:sz w:val="24"/>
          <w:szCs w:val="24"/>
        </w:rPr>
        <w:t>travel insurance, purchase of clothing or toiletries, loss of tickets, fines or traffic violations, excess baggage, spouse and/or guest accommodations, office equipment and other personal items.</w:t>
      </w:r>
    </w:p>
    <w:p w14:paraId="5D9B4B77" w14:textId="7DD43CDD" w:rsidR="00A2281C" w:rsidRPr="00A2281C" w:rsidRDefault="00A2281C" w:rsidP="00A47B45">
      <w:pPr>
        <w:spacing w:before="120"/>
        <w:ind w:left="0"/>
        <w:jc w:val="both"/>
        <w:textAlignment w:val="baseline"/>
        <w:rPr>
          <w:rFonts w:asciiTheme="minorHAnsi" w:eastAsia="Arial" w:hAnsiTheme="minorHAnsi" w:cstheme="minorHAnsi"/>
          <w:b/>
          <w:color w:val="000000"/>
          <w:spacing w:val="1"/>
          <w:sz w:val="24"/>
          <w:szCs w:val="24"/>
        </w:rPr>
      </w:pPr>
      <w:r w:rsidRPr="00A2281C">
        <w:rPr>
          <w:rFonts w:asciiTheme="minorHAnsi" w:eastAsia="Arial" w:hAnsiTheme="minorHAnsi" w:cstheme="minorHAnsi"/>
          <w:color w:val="000000"/>
          <w:spacing w:val="0"/>
          <w:sz w:val="24"/>
          <w:szCs w:val="24"/>
        </w:rPr>
        <w:t xml:space="preserve">Special training sessions and other unique one-time meetings or situations may be pre-approved by the </w:t>
      </w:r>
      <w:r w:rsidR="00BC6314">
        <w:rPr>
          <w:rFonts w:asciiTheme="minorHAnsi" w:eastAsia="Arial" w:hAnsiTheme="minorHAnsi" w:cstheme="minorHAnsi"/>
          <w:color w:val="000000"/>
          <w:spacing w:val="0"/>
          <w:sz w:val="24"/>
          <w:szCs w:val="24"/>
        </w:rPr>
        <w:t>General Manager</w:t>
      </w:r>
      <w:r w:rsidRPr="00A2281C">
        <w:rPr>
          <w:rFonts w:asciiTheme="minorHAnsi" w:eastAsia="Arial" w:hAnsiTheme="minorHAnsi" w:cstheme="minorHAnsi"/>
          <w:color w:val="000000"/>
          <w:spacing w:val="0"/>
          <w:sz w:val="24"/>
          <w:szCs w:val="24"/>
        </w:rPr>
        <w:t xml:space="preserve"> on a </w:t>
      </w:r>
      <w:r w:rsidR="00A47B45" w:rsidRPr="00A2281C">
        <w:rPr>
          <w:rFonts w:asciiTheme="minorHAnsi" w:eastAsia="Arial" w:hAnsiTheme="minorHAnsi" w:cstheme="minorHAnsi"/>
          <w:color w:val="000000"/>
          <w:spacing w:val="0"/>
          <w:sz w:val="24"/>
          <w:szCs w:val="24"/>
        </w:rPr>
        <w:t>case-by-case</w:t>
      </w:r>
      <w:r w:rsidRPr="00A2281C">
        <w:rPr>
          <w:rFonts w:asciiTheme="minorHAnsi" w:eastAsia="Arial" w:hAnsiTheme="minorHAnsi" w:cstheme="minorHAnsi"/>
          <w:color w:val="000000"/>
          <w:spacing w:val="0"/>
          <w:sz w:val="24"/>
          <w:szCs w:val="24"/>
        </w:rPr>
        <w:t xml:space="preserve"> basis. </w:t>
      </w:r>
      <w:r w:rsidR="00BC6314">
        <w:rPr>
          <w:rFonts w:asciiTheme="minorHAnsi" w:eastAsia="Arial" w:hAnsiTheme="minorHAnsi" w:cstheme="minorHAnsi"/>
          <w:color w:val="000000"/>
          <w:spacing w:val="0"/>
          <w:sz w:val="24"/>
          <w:szCs w:val="24"/>
        </w:rPr>
        <w:t xml:space="preserve">CCWD </w:t>
      </w:r>
      <w:r w:rsidRPr="00A2281C">
        <w:rPr>
          <w:rFonts w:asciiTheme="minorHAnsi" w:eastAsia="Arial" w:hAnsiTheme="minorHAnsi" w:cstheme="minorHAnsi"/>
          <w:color w:val="000000"/>
          <w:spacing w:val="0"/>
          <w:sz w:val="24"/>
          <w:szCs w:val="24"/>
        </w:rPr>
        <w:t xml:space="preserve">will not reimburse for optional quasi-social functions such as </w:t>
      </w:r>
      <w:r w:rsidR="00BC6314">
        <w:rPr>
          <w:rFonts w:asciiTheme="minorHAnsi" w:eastAsia="Arial" w:hAnsiTheme="minorHAnsi" w:cstheme="minorHAnsi"/>
          <w:color w:val="000000"/>
          <w:spacing w:val="0"/>
          <w:sz w:val="24"/>
          <w:szCs w:val="24"/>
        </w:rPr>
        <w:t xml:space="preserve">networking, </w:t>
      </w:r>
      <w:r w:rsidRPr="00A2281C">
        <w:rPr>
          <w:rFonts w:asciiTheme="minorHAnsi" w:eastAsia="Arial" w:hAnsiTheme="minorHAnsi" w:cstheme="minorHAnsi"/>
          <w:color w:val="000000"/>
          <w:spacing w:val="0"/>
          <w:sz w:val="24"/>
          <w:szCs w:val="24"/>
        </w:rPr>
        <w:t>retirement</w:t>
      </w:r>
      <w:r w:rsidR="00BC6314">
        <w:rPr>
          <w:rFonts w:asciiTheme="minorHAnsi" w:eastAsia="Arial" w:hAnsiTheme="minorHAnsi" w:cstheme="minorHAnsi"/>
          <w:color w:val="000000"/>
          <w:spacing w:val="0"/>
          <w:sz w:val="24"/>
          <w:szCs w:val="24"/>
        </w:rPr>
        <w:t>,</w:t>
      </w:r>
      <w:r w:rsidRPr="00A2281C">
        <w:rPr>
          <w:rFonts w:asciiTheme="minorHAnsi" w:eastAsia="Arial" w:hAnsiTheme="minorHAnsi" w:cstheme="minorHAnsi"/>
          <w:color w:val="000000"/>
          <w:spacing w:val="0"/>
          <w:sz w:val="24"/>
          <w:szCs w:val="24"/>
        </w:rPr>
        <w:t xml:space="preserve"> or testimonial dinners unless approved in advance by the </w:t>
      </w:r>
      <w:r w:rsidR="00BC6314">
        <w:rPr>
          <w:rFonts w:asciiTheme="minorHAnsi" w:eastAsia="Arial" w:hAnsiTheme="minorHAnsi" w:cstheme="minorHAnsi"/>
          <w:color w:val="000000"/>
          <w:spacing w:val="0"/>
          <w:sz w:val="24"/>
          <w:szCs w:val="24"/>
        </w:rPr>
        <w:t>Board of Directors</w:t>
      </w:r>
      <w:r w:rsidRPr="00A2281C">
        <w:rPr>
          <w:rFonts w:asciiTheme="minorHAnsi" w:eastAsia="Arial" w:hAnsiTheme="minorHAnsi" w:cstheme="minorHAnsi"/>
          <w:color w:val="000000"/>
          <w:spacing w:val="0"/>
          <w:sz w:val="24"/>
          <w:szCs w:val="24"/>
        </w:rPr>
        <w:t>.</w:t>
      </w:r>
    </w:p>
    <w:p w14:paraId="29AAEED2" w14:textId="4B963E9F" w:rsidR="00A2281C" w:rsidRPr="00A2281C" w:rsidRDefault="00A2281C" w:rsidP="00A47B45">
      <w:pPr>
        <w:spacing w:before="120"/>
        <w:ind w:left="0"/>
        <w:jc w:val="both"/>
        <w:textAlignment w:val="baseline"/>
        <w:rPr>
          <w:rFonts w:asciiTheme="minorHAnsi" w:eastAsia="Arial" w:hAnsiTheme="minorHAnsi" w:cstheme="minorHAnsi"/>
          <w:b/>
          <w:color w:val="000000"/>
          <w:spacing w:val="1"/>
          <w:sz w:val="24"/>
          <w:szCs w:val="24"/>
        </w:rPr>
      </w:pPr>
      <w:r w:rsidRPr="00A2281C">
        <w:rPr>
          <w:rFonts w:asciiTheme="minorHAnsi" w:eastAsia="Arial" w:hAnsiTheme="minorHAnsi" w:cstheme="minorHAnsi"/>
          <w:color w:val="000000"/>
          <w:spacing w:val="0"/>
          <w:sz w:val="24"/>
          <w:szCs w:val="24"/>
        </w:rPr>
        <w:t xml:space="preserve">If unauthorized expenses have been paid by </w:t>
      </w:r>
      <w:r w:rsidR="00F013FF">
        <w:rPr>
          <w:rFonts w:asciiTheme="minorHAnsi" w:eastAsia="Arial" w:hAnsiTheme="minorHAnsi" w:cstheme="minorHAnsi"/>
          <w:color w:val="000000"/>
          <w:spacing w:val="0"/>
          <w:sz w:val="24"/>
          <w:szCs w:val="24"/>
        </w:rPr>
        <w:t>CCWD</w:t>
      </w:r>
      <w:r w:rsidRPr="00A2281C">
        <w:rPr>
          <w:rFonts w:asciiTheme="minorHAnsi" w:eastAsia="Arial" w:hAnsiTheme="minorHAnsi" w:cstheme="minorHAnsi"/>
          <w:color w:val="000000"/>
          <w:spacing w:val="0"/>
          <w:sz w:val="24"/>
          <w:szCs w:val="24"/>
        </w:rPr>
        <w:t xml:space="preserve"> (i.e., via credit card or petty cash), the employee will be responsible for </w:t>
      </w:r>
      <w:r w:rsidRPr="00A2281C">
        <w:rPr>
          <w:rFonts w:asciiTheme="minorHAnsi" w:eastAsia="Arial" w:hAnsiTheme="minorHAnsi" w:cstheme="minorHAnsi"/>
          <w:color w:val="000000"/>
          <w:spacing w:val="0"/>
          <w:sz w:val="24"/>
          <w:szCs w:val="24"/>
          <w:u w:val="single"/>
        </w:rPr>
        <w:t>immediate</w:t>
      </w:r>
      <w:r w:rsidRPr="00A2281C">
        <w:rPr>
          <w:rFonts w:asciiTheme="minorHAnsi" w:eastAsia="Arial" w:hAnsiTheme="minorHAnsi" w:cstheme="minorHAnsi"/>
          <w:color w:val="000000"/>
          <w:spacing w:val="0"/>
          <w:sz w:val="24"/>
          <w:szCs w:val="24"/>
        </w:rPr>
        <w:t xml:space="preserve"> reimbursement to </w:t>
      </w:r>
      <w:r w:rsidR="00F013FF">
        <w:rPr>
          <w:rFonts w:asciiTheme="minorHAnsi" w:eastAsia="Arial" w:hAnsiTheme="minorHAnsi" w:cstheme="minorHAnsi"/>
          <w:color w:val="000000"/>
          <w:spacing w:val="0"/>
          <w:sz w:val="24"/>
          <w:szCs w:val="24"/>
        </w:rPr>
        <w:t>CCWD</w:t>
      </w:r>
      <w:r w:rsidRPr="00A2281C">
        <w:rPr>
          <w:rFonts w:asciiTheme="minorHAnsi" w:eastAsia="Arial" w:hAnsiTheme="minorHAnsi" w:cstheme="minorHAnsi"/>
          <w:color w:val="000000"/>
          <w:spacing w:val="0"/>
          <w:sz w:val="24"/>
          <w:szCs w:val="24"/>
        </w:rPr>
        <w:t xml:space="preserve"> either by personal check or an authorized payroll deduction.</w:t>
      </w:r>
    </w:p>
    <w:p w14:paraId="5B25F32A" w14:textId="77777777" w:rsidR="00A2281C" w:rsidRDefault="00A2281C" w:rsidP="00A2281C">
      <w:pPr>
        <w:pStyle w:val="CSDAPolicy1"/>
        <w:tabs>
          <w:tab w:val="clear" w:pos="0"/>
        </w:tabs>
        <w:rPr>
          <w:rFonts w:asciiTheme="minorHAnsi" w:hAnsiTheme="minorHAnsi" w:cstheme="minorHAnsi"/>
          <w:szCs w:val="24"/>
        </w:rPr>
      </w:pPr>
    </w:p>
    <w:p w14:paraId="42B74FFC" w14:textId="77777777" w:rsidR="005264AE" w:rsidRPr="005264AE" w:rsidRDefault="005264AE" w:rsidP="005264AE"/>
    <w:p w14:paraId="24F91B13" w14:textId="77777777" w:rsidR="005264AE" w:rsidRPr="005264AE" w:rsidRDefault="005264AE" w:rsidP="005264AE"/>
    <w:p w14:paraId="567B4DFA" w14:textId="77777777" w:rsidR="005264AE" w:rsidRPr="005264AE" w:rsidRDefault="005264AE" w:rsidP="005264AE"/>
    <w:sectPr w:rsidR="005264AE" w:rsidRPr="005264AE" w:rsidSect="005264A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152" w:right="1152" w:bottom="1152" w:left="1728" w:header="1152"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188F" w14:textId="77777777" w:rsidR="006A3596" w:rsidRDefault="006A3596">
      <w:r>
        <w:separator/>
      </w:r>
    </w:p>
  </w:endnote>
  <w:endnote w:type="continuationSeparator" w:id="0">
    <w:p w14:paraId="12FF63E7" w14:textId="77777777" w:rsidR="006A3596" w:rsidRDefault="006A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8E88" w14:textId="77777777" w:rsidR="005264AE" w:rsidRDefault="00526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5249" w14:textId="77777777" w:rsidR="005264AE" w:rsidRDefault="005264AE" w:rsidP="00A47B45">
    <w:pPr>
      <w:tabs>
        <w:tab w:val="center" w:pos="4680"/>
        <w:tab w:val="right" w:pos="9360"/>
        <w:tab w:val="right" w:pos="9630"/>
      </w:tabs>
      <w:ind w:left="0"/>
      <w:rPr>
        <w:rFonts w:ascii="Calibri" w:eastAsia="Calibri" w:hAnsi="Calibri" w:cs="Calibri"/>
        <w:sz w:val="18"/>
        <w:szCs w:val="18"/>
      </w:rPr>
    </w:pPr>
  </w:p>
  <w:p w14:paraId="6BDF3A43" w14:textId="77777777" w:rsidR="005264AE" w:rsidRDefault="005264AE" w:rsidP="005264AE">
    <w:pPr>
      <w:pStyle w:val="Footer"/>
      <w:jc w:val="center"/>
      <w:rPr>
        <w:rFonts w:ascii="Arial Narrow" w:hAnsi="Arial Narrow"/>
        <w:color w:val="000000"/>
        <w:spacing w:val="-6"/>
        <w:sz w:val="16"/>
      </w:rPr>
    </w:pPr>
    <w:r>
      <w:rPr>
        <w:rFonts w:ascii="Arial Narrow" w:hAnsi="Arial Narrow"/>
        <w:color w:val="000000"/>
        <w:spacing w:val="-6"/>
        <w:sz w:val="16"/>
      </w:rPr>
      <w:tab/>
    </w:r>
  </w:p>
  <w:p w14:paraId="56CE26C4" w14:textId="5621B986" w:rsidR="004516D3" w:rsidRPr="005264AE" w:rsidRDefault="005264AE" w:rsidP="005264AE">
    <w:pPr>
      <w:pStyle w:val="Footer"/>
      <w:tabs>
        <w:tab w:val="clear" w:pos="8640"/>
        <w:tab w:val="right" w:pos="9360"/>
      </w:tabs>
      <w:ind w:left="0"/>
      <w:rPr>
        <w:rFonts w:asciiTheme="minorHAnsi" w:hAnsiTheme="minorHAnsi" w:cstheme="minorHAnsi"/>
        <w:caps w:val="0"/>
        <w:sz w:val="18"/>
        <w:szCs w:val="18"/>
      </w:rPr>
    </w:pPr>
    <w:r w:rsidRPr="003920E5">
      <w:rPr>
        <w:rFonts w:asciiTheme="minorHAnsi" w:hAnsiTheme="minorHAnsi" w:cstheme="minorHAnsi"/>
        <w:sz w:val="18"/>
        <w:szCs w:val="18"/>
      </w:rPr>
      <w:t>(continued document) adopted date: ____________________________ initials: ________</w:t>
    </w:r>
    <w:r>
      <w:rPr>
        <w:rFonts w:asciiTheme="minorHAnsi" w:hAnsiTheme="minorHAnsi" w:cstheme="minorHAnsi"/>
        <w:sz w:val="18"/>
        <w:szCs w:val="18"/>
      </w:rPr>
      <w:tab/>
    </w:r>
    <w:r w:rsidRPr="000717DF">
      <w:rPr>
        <w:rFonts w:asciiTheme="minorHAnsi" w:hAnsiTheme="minorHAnsi" w:cstheme="minorHAnsi"/>
        <w:sz w:val="18"/>
        <w:szCs w:val="18"/>
      </w:rPr>
      <w:t xml:space="preserve">Page </w:t>
    </w:r>
    <w:r w:rsidRPr="000717DF">
      <w:rPr>
        <w:rFonts w:asciiTheme="minorHAnsi" w:hAnsiTheme="minorHAnsi" w:cstheme="minorHAnsi"/>
        <w:b/>
        <w:bCs/>
        <w:caps w:val="0"/>
        <w:sz w:val="18"/>
        <w:szCs w:val="18"/>
      </w:rPr>
      <w:fldChar w:fldCharType="begin"/>
    </w:r>
    <w:r w:rsidRPr="000717DF">
      <w:rPr>
        <w:rFonts w:asciiTheme="minorHAnsi" w:hAnsiTheme="minorHAnsi" w:cstheme="minorHAnsi"/>
        <w:b/>
        <w:bCs/>
        <w:sz w:val="18"/>
        <w:szCs w:val="18"/>
      </w:rPr>
      <w:instrText xml:space="preserve"> PAGE  \* Arabic  \* MERGEFORMAT </w:instrText>
    </w:r>
    <w:r w:rsidRPr="000717DF">
      <w:rPr>
        <w:rFonts w:asciiTheme="minorHAnsi" w:hAnsiTheme="minorHAnsi" w:cstheme="minorHAnsi"/>
        <w:b/>
        <w:bCs/>
        <w:caps w:val="0"/>
        <w:sz w:val="18"/>
        <w:szCs w:val="18"/>
      </w:rPr>
      <w:fldChar w:fldCharType="separate"/>
    </w:r>
    <w:r>
      <w:rPr>
        <w:rFonts w:asciiTheme="minorHAnsi" w:hAnsiTheme="minorHAnsi" w:cstheme="minorHAnsi"/>
        <w:b/>
        <w:bCs/>
        <w:caps w:val="0"/>
        <w:sz w:val="18"/>
        <w:szCs w:val="18"/>
      </w:rPr>
      <w:t>2</w:t>
    </w:r>
    <w:r w:rsidRPr="000717DF">
      <w:rPr>
        <w:rFonts w:asciiTheme="minorHAnsi" w:hAnsiTheme="minorHAnsi" w:cstheme="minorHAnsi"/>
        <w:b/>
        <w:bCs/>
        <w:caps w:val="0"/>
        <w:sz w:val="18"/>
        <w:szCs w:val="18"/>
      </w:rPr>
      <w:fldChar w:fldCharType="end"/>
    </w:r>
    <w:r w:rsidRPr="000717DF">
      <w:rPr>
        <w:rFonts w:asciiTheme="minorHAnsi" w:hAnsiTheme="minorHAnsi" w:cstheme="minorHAnsi"/>
        <w:sz w:val="18"/>
        <w:szCs w:val="18"/>
      </w:rPr>
      <w:t xml:space="preserve"> of </w:t>
    </w:r>
    <w:r w:rsidRPr="000717DF">
      <w:rPr>
        <w:rFonts w:asciiTheme="minorHAnsi" w:hAnsiTheme="minorHAnsi" w:cstheme="minorHAnsi"/>
        <w:b/>
        <w:bCs/>
        <w:caps w:val="0"/>
        <w:sz w:val="18"/>
        <w:szCs w:val="18"/>
      </w:rPr>
      <w:fldChar w:fldCharType="begin"/>
    </w:r>
    <w:r w:rsidRPr="000717DF">
      <w:rPr>
        <w:rFonts w:asciiTheme="minorHAnsi" w:hAnsiTheme="minorHAnsi" w:cstheme="minorHAnsi"/>
        <w:b/>
        <w:bCs/>
        <w:sz w:val="18"/>
        <w:szCs w:val="18"/>
      </w:rPr>
      <w:instrText xml:space="preserve"> NUMPAGES  \* Arabic  \* MERGEFORMAT </w:instrText>
    </w:r>
    <w:r w:rsidRPr="000717DF">
      <w:rPr>
        <w:rFonts w:asciiTheme="minorHAnsi" w:hAnsiTheme="minorHAnsi" w:cstheme="minorHAnsi"/>
        <w:b/>
        <w:bCs/>
        <w:caps w:val="0"/>
        <w:sz w:val="18"/>
        <w:szCs w:val="18"/>
      </w:rPr>
      <w:fldChar w:fldCharType="separate"/>
    </w:r>
    <w:r>
      <w:rPr>
        <w:rFonts w:asciiTheme="minorHAnsi" w:hAnsiTheme="minorHAnsi" w:cstheme="minorHAnsi"/>
        <w:b/>
        <w:bCs/>
        <w:caps w:val="0"/>
        <w:sz w:val="18"/>
        <w:szCs w:val="18"/>
      </w:rPr>
      <w:t>2</w:t>
    </w:r>
    <w:r w:rsidRPr="000717DF">
      <w:rPr>
        <w:rFonts w:asciiTheme="minorHAnsi" w:hAnsiTheme="minorHAnsi" w:cstheme="minorHAnsi"/>
        <w:b/>
        <w:bCs/>
        <w:caps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C35F" w14:textId="77777777" w:rsidR="005264AE" w:rsidRDefault="005264AE" w:rsidP="005264AE">
    <w:pPr>
      <w:tabs>
        <w:tab w:val="center" w:pos="4680"/>
        <w:tab w:val="right" w:pos="9270"/>
      </w:tabs>
      <w:ind w:left="0" w:right="90"/>
      <w:rPr>
        <w:rFonts w:ascii="Calibri" w:eastAsia="Calibri" w:hAnsi="Calibri" w:cs="Calibri"/>
        <w:sz w:val="18"/>
        <w:szCs w:val="18"/>
      </w:rPr>
    </w:pPr>
  </w:p>
  <w:p w14:paraId="2E46D500" w14:textId="77777777" w:rsidR="005264AE" w:rsidRPr="00FE3013" w:rsidRDefault="005264AE" w:rsidP="005264AE">
    <w:pPr>
      <w:tabs>
        <w:tab w:val="center" w:pos="4680"/>
        <w:tab w:val="right" w:pos="9270"/>
        <w:tab w:val="right" w:pos="9360"/>
        <w:tab w:val="right" w:pos="9630"/>
      </w:tabs>
      <w:ind w:left="0"/>
      <w:rPr>
        <w:rFonts w:ascii="Calibri" w:eastAsia="Calibri" w:hAnsi="Calibri" w:cs="Calibri"/>
        <w:sz w:val="18"/>
        <w:szCs w:val="18"/>
      </w:rPr>
    </w:pPr>
    <w:r w:rsidRPr="00FE3013">
      <w:rPr>
        <w:rFonts w:ascii="Calibri" w:eastAsia="Calibri" w:hAnsi="Calibri" w:cs="Calibri"/>
        <w:sz w:val="18"/>
        <w:szCs w:val="18"/>
      </w:rPr>
      <w:t xml:space="preserve">THIS POLICY IS HEREBY PASSED AND ADOPTED BY THE BOARD OF DIRECTORS OF THE CALLAYOMI COUNTY WATER DISTRICT AT A REGULAR MEETING THEREOF HELD ON </w:t>
    </w:r>
    <w:r>
      <w:rPr>
        <w:rFonts w:ascii="Calibri" w:eastAsia="Calibri" w:hAnsi="Calibri" w:cs="Calibri"/>
        <w:sz w:val="18"/>
        <w:szCs w:val="18"/>
        <w:u w:val="single"/>
      </w:rPr>
      <w:t xml:space="preserve">   FEBRUARY 15, 2024</w:t>
    </w:r>
    <w:r w:rsidRPr="00FE3013">
      <w:rPr>
        <w:rFonts w:ascii="Calibri" w:eastAsia="Calibri" w:hAnsi="Calibri" w:cs="Calibri"/>
        <w:sz w:val="18"/>
        <w:szCs w:val="18"/>
      </w:rPr>
      <w:t>__. THIS VERSION OF THE POLICY SUPERSEDES ALL PREVIOUS VERSIONS.</w:t>
    </w:r>
  </w:p>
  <w:p w14:paraId="6E663165" w14:textId="77777777" w:rsidR="005264AE" w:rsidRPr="00FE3013" w:rsidRDefault="005264AE" w:rsidP="005264AE">
    <w:pPr>
      <w:tabs>
        <w:tab w:val="center" w:pos="4680"/>
        <w:tab w:val="right" w:pos="9270"/>
        <w:tab w:val="right" w:pos="9360"/>
        <w:tab w:val="right" w:pos="9630"/>
      </w:tabs>
      <w:ind w:left="0"/>
      <w:rPr>
        <w:rFonts w:ascii="Calibri" w:eastAsia="Calibri" w:hAnsi="Calibri" w:cs="Calibri"/>
        <w:sz w:val="18"/>
        <w:szCs w:val="18"/>
      </w:rPr>
    </w:pPr>
  </w:p>
  <w:p w14:paraId="6181EC12" w14:textId="60194DFF" w:rsidR="005264AE" w:rsidRPr="00FE3013" w:rsidRDefault="005264AE" w:rsidP="005264AE">
    <w:pPr>
      <w:tabs>
        <w:tab w:val="center" w:pos="4680"/>
        <w:tab w:val="right" w:pos="9270"/>
        <w:tab w:val="right" w:pos="9360"/>
      </w:tabs>
      <w:ind w:left="0"/>
      <w:rPr>
        <w:rFonts w:ascii="Calibri" w:eastAsia="Calibri" w:hAnsi="Calibri" w:cs="Calibri"/>
        <w:sz w:val="18"/>
        <w:szCs w:val="18"/>
      </w:rPr>
    </w:pPr>
    <w:r w:rsidRPr="00FE3013">
      <w:rPr>
        <w:rFonts w:ascii="Calibri" w:eastAsia="Calibri" w:hAnsi="Calibri" w:cs="Calibri"/>
        <w:sz w:val="18"/>
        <w:szCs w:val="18"/>
      </w:rPr>
      <w:t xml:space="preserve">BY: ___________________________________     </w:t>
    </w:r>
    <w:r w:rsidRPr="00FE3013">
      <w:rPr>
        <w:rFonts w:ascii="Calibri" w:eastAsia="Calibri" w:hAnsi="Calibri" w:cs="Calibri"/>
        <w:sz w:val="18"/>
        <w:szCs w:val="18"/>
      </w:rPr>
      <w:tab/>
    </w:r>
    <w:r w:rsidRPr="00FE3013">
      <w:rPr>
        <w:rFonts w:ascii="Calibri" w:eastAsia="Calibri" w:hAnsi="Calibri" w:cs="Calibri"/>
        <w:sz w:val="18"/>
        <w:szCs w:val="18"/>
      </w:rPr>
      <w:tab/>
      <w:t xml:space="preserve">PAGE </w:t>
    </w:r>
    <w:r w:rsidRPr="00FE3013">
      <w:rPr>
        <w:rFonts w:ascii="Calibri" w:eastAsia="Calibri" w:hAnsi="Calibri" w:cs="Calibri"/>
        <w:b/>
        <w:bCs/>
        <w:sz w:val="18"/>
        <w:szCs w:val="18"/>
      </w:rPr>
      <w:fldChar w:fldCharType="begin"/>
    </w:r>
    <w:r w:rsidRPr="00FE3013">
      <w:rPr>
        <w:rFonts w:ascii="Calibri" w:eastAsia="Calibri" w:hAnsi="Calibri" w:cs="Calibri"/>
        <w:b/>
        <w:bCs/>
        <w:sz w:val="18"/>
        <w:szCs w:val="18"/>
      </w:rPr>
      <w:instrText xml:space="preserve"> PAGE  \* Arabic  \* MERGEFORMAT </w:instrText>
    </w:r>
    <w:r w:rsidRPr="00FE3013">
      <w:rPr>
        <w:rFonts w:ascii="Calibri" w:eastAsia="Calibri" w:hAnsi="Calibri" w:cs="Calibri"/>
        <w:b/>
        <w:bCs/>
        <w:sz w:val="18"/>
        <w:szCs w:val="18"/>
      </w:rPr>
      <w:fldChar w:fldCharType="separate"/>
    </w:r>
    <w:r>
      <w:rPr>
        <w:rFonts w:ascii="Calibri" w:eastAsia="Calibri" w:hAnsi="Calibri" w:cs="Calibri"/>
        <w:b/>
        <w:bCs/>
        <w:sz w:val="18"/>
        <w:szCs w:val="18"/>
      </w:rPr>
      <w:t>2</w:t>
    </w:r>
    <w:r w:rsidRPr="00FE3013">
      <w:rPr>
        <w:rFonts w:ascii="Calibri" w:eastAsia="Calibri" w:hAnsi="Calibri" w:cs="Calibri"/>
        <w:b/>
        <w:bCs/>
        <w:sz w:val="18"/>
        <w:szCs w:val="18"/>
      </w:rPr>
      <w:fldChar w:fldCharType="end"/>
    </w:r>
    <w:r w:rsidRPr="00FE3013">
      <w:rPr>
        <w:rFonts w:ascii="Calibri" w:eastAsia="Calibri" w:hAnsi="Calibri" w:cs="Calibri"/>
        <w:sz w:val="18"/>
        <w:szCs w:val="18"/>
      </w:rPr>
      <w:t xml:space="preserve"> OF </w:t>
    </w:r>
    <w:r w:rsidRPr="00FE3013">
      <w:rPr>
        <w:rFonts w:ascii="Calibri" w:eastAsia="Calibri" w:hAnsi="Calibri" w:cs="Calibri"/>
        <w:b/>
        <w:bCs/>
        <w:sz w:val="18"/>
        <w:szCs w:val="18"/>
      </w:rPr>
      <w:fldChar w:fldCharType="begin"/>
    </w:r>
    <w:r w:rsidRPr="00FE3013">
      <w:rPr>
        <w:rFonts w:ascii="Calibri" w:eastAsia="Calibri" w:hAnsi="Calibri" w:cs="Calibri"/>
        <w:b/>
        <w:bCs/>
        <w:sz w:val="18"/>
        <w:szCs w:val="18"/>
      </w:rPr>
      <w:instrText xml:space="preserve"> NUMPAGES  \* Arabic  \* MERGEFORMAT </w:instrText>
    </w:r>
    <w:r w:rsidRPr="00FE3013">
      <w:rPr>
        <w:rFonts w:ascii="Calibri" w:eastAsia="Calibri" w:hAnsi="Calibri" w:cs="Calibri"/>
        <w:b/>
        <w:bCs/>
        <w:sz w:val="18"/>
        <w:szCs w:val="18"/>
      </w:rPr>
      <w:fldChar w:fldCharType="separate"/>
    </w:r>
    <w:r>
      <w:rPr>
        <w:rFonts w:ascii="Calibri" w:eastAsia="Calibri" w:hAnsi="Calibri" w:cs="Calibri"/>
        <w:b/>
        <w:bCs/>
        <w:sz w:val="18"/>
        <w:szCs w:val="18"/>
      </w:rPr>
      <w:t>3</w:t>
    </w:r>
    <w:r w:rsidRPr="00FE3013">
      <w:rPr>
        <w:rFonts w:ascii="Calibri" w:eastAsia="Calibri" w:hAnsi="Calibri" w:cs="Calibri"/>
        <w:b/>
        <w:bCs/>
        <w:sz w:val="18"/>
        <w:szCs w:val="18"/>
      </w:rPr>
      <w:fldChar w:fldCharType="end"/>
    </w:r>
    <w:r w:rsidRPr="00FE3013">
      <w:rPr>
        <w:rFonts w:ascii="Calibri" w:eastAsia="Calibri" w:hAnsi="Calibri" w:cs="Calibri"/>
        <w:sz w:val="18"/>
        <w:szCs w:val="18"/>
      </w:rPr>
      <w:t xml:space="preserve"> </w:t>
    </w:r>
  </w:p>
  <w:p w14:paraId="1F089D85" w14:textId="016E8725" w:rsidR="005264AE" w:rsidRPr="00474D7C" w:rsidRDefault="005264AE" w:rsidP="00474D7C">
    <w:pPr>
      <w:tabs>
        <w:tab w:val="left" w:pos="450"/>
        <w:tab w:val="right" w:pos="9270"/>
      </w:tabs>
      <w:ind w:left="0"/>
      <w:rPr>
        <w:rFonts w:ascii="Calibri" w:eastAsia="Calibri" w:hAnsi="Calibri"/>
      </w:rPr>
    </w:pPr>
    <w:r w:rsidRPr="00FE3013">
      <w:rPr>
        <w:rFonts w:ascii="Calibri" w:eastAsia="Calibri" w:hAnsi="Calibri" w:cs="Calibri"/>
        <w:sz w:val="18"/>
        <w:szCs w:val="18"/>
      </w:rPr>
      <w:tab/>
      <w:t xml:space="preserve">FRANKLIN VELARDE, BOARD PRESIDENT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BEE6" w14:textId="77777777" w:rsidR="006A3596" w:rsidRDefault="006A3596">
      <w:r>
        <w:separator/>
      </w:r>
    </w:p>
  </w:footnote>
  <w:footnote w:type="continuationSeparator" w:id="0">
    <w:p w14:paraId="37BF7995" w14:textId="77777777" w:rsidR="006A3596" w:rsidRDefault="006A3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F0FD" w14:textId="77777777" w:rsidR="005264AE" w:rsidRDefault="00526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3684" w14:textId="77777777" w:rsidR="00F013FF" w:rsidRPr="0064526E" w:rsidRDefault="00F013FF" w:rsidP="00F013FF">
    <w:pPr>
      <w:tabs>
        <w:tab w:val="center" w:pos="4680"/>
        <w:tab w:val="right" w:pos="9360"/>
        <w:tab w:val="right" w:pos="9630"/>
      </w:tabs>
      <w:ind w:left="0"/>
      <w:contextualSpacing/>
      <w:jc w:val="center"/>
      <w:rPr>
        <w:rFonts w:ascii="Arial Black" w:eastAsia="Calibri" w:hAnsi="Arial Black" w:cs="Arial"/>
        <w:b/>
        <w:bCs/>
        <w:caps/>
        <w:spacing w:val="-20"/>
        <w:sz w:val="40"/>
        <w:szCs w:val="40"/>
      </w:rPr>
    </w:pPr>
    <w:r w:rsidRPr="0064526E">
      <w:rPr>
        <w:rFonts w:ascii="Arial Black" w:eastAsia="Calibri" w:hAnsi="Arial Black" w:cs="Arial"/>
        <w:b/>
        <w:bCs/>
        <w:caps/>
        <w:spacing w:val="-20"/>
        <w:sz w:val="40"/>
        <w:szCs w:val="40"/>
      </w:rPr>
      <w:t>Callayomi County Water District</w:t>
    </w:r>
  </w:p>
  <w:p w14:paraId="1B6C38C1" w14:textId="6E8D46AA" w:rsidR="00F013FF" w:rsidRPr="005264AE" w:rsidRDefault="00F013FF" w:rsidP="005264AE">
    <w:pPr>
      <w:keepNext/>
      <w:keepLines/>
      <w:pBdr>
        <w:top w:val="single" w:sz="48" w:space="3" w:color="FFFFFF"/>
        <w:left w:val="single" w:sz="6" w:space="3" w:color="FFFFFF"/>
        <w:bottom w:val="single" w:sz="6" w:space="3" w:color="FFFFFF"/>
      </w:pBdr>
      <w:shd w:val="solid" w:color="auto" w:fill="auto"/>
      <w:spacing w:after="360"/>
      <w:ind w:left="0"/>
      <w:contextualSpacing/>
      <w:outlineLvl w:val="0"/>
      <w:rPr>
        <w:rFonts w:ascii="Arial Black" w:hAnsi="Arial Black"/>
        <w:color w:val="FFFFFF"/>
        <w:spacing w:val="-10"/>
        <w:kern w:val="20"/>
        <w:sz w:val="24"/>
      </w:rPr>
    </w:pPr>
    <w:r w:rsidRPr="0064526E">
      <w:rPr>
        <w:rFonts w:ascii="Arial Black" w:hAnsi="Arial Black"/>
        <w:color w:val="FFFFFF"/>
        <w:spacing w:val="-10"/>
        <w:kern w:val="20"/>
        <w:sz w:val="24"/>
      </w:rPr>
      <w:t>POLICY HANDBOOK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932E" w14:textId="77777777" w:rsidR="005264AE" w:rsidRPr="0064526E" w:rsidRDefault="005264AE" w:rsidP="005264AE">
    <w:pPr>
      <w:tabs>
        <w:tab w:val="center" w:pos="4680"/>
        <w:tab w:val="right" w:pos="9360"/>
        <w:tab w:val="right" w:pos="9630"/>
      </w:tabs>
      <w:ind w:left="0"/>
      <w:contextualSpacing/>
      <w:jc w:val="center"/>
      <w:rPr>
        <w:rFonts w:ascii="Arial Black" w:eastAsia="Calibri" w:hAnsi="Arial Black" w:cs="Arial"/>
        <w:b/>
        <w:bCs/>
        <w:caps/>
        <w:spacing w:val="-20"/>
        <w:sz w:val="40"/>
        <w:szCs w:val="40"/>
      </w:rPr>
    </w:pPr>
    <w:r w:rsidRPr="0064526E">
      <w:rPr>
        <w:rFonts w:ascii="Arial Black" w:eastAsia="Calibri" w:hAnsi="Arial Black" w:cs="Arial"/>
        <w:b/>
        <w:bCs/>
        <w:caps/>
        <w:spacing w:val="-20"/>
        <w:sz w:val="40"/>
        <w:szCs w:val="40"/>
      </w:rPr>
      <w:t>Callayomi County Water District</w:t>
    </w:r>
  </w:p>
  <w:p w14:paraId="345072EC" w14:textId="3D16D4AA" w:rsidR="005264AE" w:rsidRPr="005264AE" w:rsidRDefault="005264AE" w:rsidP="005264AE">
    <w:pPr>
      <w:keepNext/>
      <w:keepLines/>
      <w:pBdr>
        <w:top w:val="single" w:sz="48" w:space="3" w:color="FFFFFF"/>
        <w:left w:val="single" w:sz="6" w:space="3" w:color="FFFFFF"/>
        <w:bottom w:val="single" w:sz="6" w:space="3" w:color="FFFFFF"/>
      </w:pBdr>
      <w:shd w:val="solid" w:color="auto" w:fill="auto"/>
      <w:spacing w:after="360"/>
      <w:ind w:left="0"/>
      <w:contextualSpacing/>
      <w:outlineLvl w:val="0"/>
      <w:rPr>
        <w:rFonts w:ascii="Arial Black" w:hAnsi="Arial Black"/>
        <w:color w:val="FFFFFF"/>
        <w:spacing w:val="-10"/>
        <w:kern w:val="20"/>
        <w:sz w:val="24"/>
      </w:rPr>
    </w:pPr>
    <w:r w:rsidRPr="0064526E">
      <w:rPr>
        <w:rFonts w:ascii="Arial Black" w:hAnsi="Arial Black"/>
        <w:color w:val="FFFFFF"/>
        <w:spacing w:val="-10"/>
        <w:kern w:val="20"/>
        <w:sz w:val="24"/>
      </w:rPr>
      <w:t>POLICY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D4F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2" w15:restartNumberingAfterBreak="0">
    <w:nsid w:val="19754DDC"/>
    <w:multiLevelType w:val="singleLevel"/>
    <w:tmpl w:val="6DCCA5CE"/>
    <w:lvl w:ilvl="0">
      <w:start w:val="1"/>
      <w:numFmt w:val="none"/>
      <w:lvlText w:val=""/>
      <w:legacy w:legacy="1" w:legacySpace="0" w:legacyIndent="0"/>
      <w:lvlJc w:val="left"/>
    </w:lvl>
  </w:abstractNum>
  <w:abstractNum w:abstractNumId="13" w15:restartNumberingAfterBreak="0">
    <w:nsid w:val="1BBB78A1"/>
    <w:multiLevelType w:val="hybridMultilevel"/>
    <w:tmpl w:val="09020D6C"/>
    <w:lvl w:ilvl="0" w:tplc="910629AE">
      <w:start w:val="1"/>
      <w:numFmt w:val="bullet"/>
      <w:lvlText w:val=""/>
      <w:lvlJc w:val="left"/>
      <w:pPr>
        <w:ind w:left="720" w:hanging="360"/>
      </w:pPr>
      <w:rPr>
        <w:rFonts w:ascii="Symbol" w:hAnsi="Symbol" w:hint="default"/>
      </w:rPr>
    </w:lvl>
    <w:lvl w:ilvl="1" w:tplc="74C07D9A">
      <w:start w:val="1"/>
      <w:numFmt w:val="bullet"/>
      <w:lvlText w:val="o"/>
      <w:lvlJc w:val="left"/>
      <w:pPr>
        <w:ind w:left="1440" w:hanging="360"/>
      </w:pPr>
      <w:rPr>
        <w:rFonts w:ascii="Courier New" w:hAnsi="Courier New" w:cs="Courier New" w:hint="default"/>
      </w:rPr>
    </w:lvl>
    <w:lvl w:ilvl="2" w:tplc="F0CEA71C">
      <w:start w:val="1"/>
      <w:numFmt w:val="bullet"/>
      <w:lvlText w:val=""/>
      <w:lvlJc w:val="left"/>
      <w:pPr>
        <w:ind w:left="2160" w:hanging="360"/>
      </w:pPr>
      <w:rPr>
        <w:rFonts w:ascii="Wingdings" w:hAnsi="Wingdings" w:hint="default"/>
      </w:rPr>
    </w:lvl>
    <w:lvl w:ilvl="3" w:tplc="62C8FFCA">
      <w:start w:val="1"/>
      <w:numFmt w:val="bullet"/>
      <w:lvlText w:val=""/>
      <w:lvlJc w:val="left"/>
      <w:pPr>
        <w:ind w:left="2880" w:hanging="360"/>
      </w:pPr>
      <w:rPr>
        <w:rFonts w:ascii="Symbol" w:hAnsi="Symbol" w:hint="default"/>
      </w:rPr>
    </w:lvl>
    <w:lvl w:ilvl="4" w:tplc="7848C2F8">
      <w:start w:val="1"/>
      <w:numFmt w:val="bullet"/>
      <w:lvlText w:val="o"/>
      <w:lvlJc w:val="left"/>
      <w:pPr>
        <w:ind w:left="3600" w:hanging="360"/>
      </w:pPr>
      <w:rPr>
        <w:rFonts w:ascii="Courier New" w:hAnsi="Courier New" w:cs="Courier New" w:hint="default"/>
      </w:rPr>
    </w:lvl>
    <w:lvl w:ilvl="5" w:tplc="2BAEFC84">
      <w:start w:val="1"/>
      <w:numFmt w:val="bullet"/>
      <w:lvlText w:val=""/>
      <w:lvlJc w:val="left"/>
      <w:pPr>
        <w:ind w:left="4320" w:hanging="360"/>
      </w:pPr>
      <w:rPr>
        <w:rFonts w:ascii="Wingdings" w:hAnsi="Wingdings" w:hint="default"/>
      </w:rPr>
    </w:lvl>
    <w:lvl w:ilvl="6" w:tplc="E2708814">
      <w:start w:val="1"/>
      <w:numFmt w:val="bullet"/>
      <w:lvlText w:val=""/>
      <w:lvlJc w:val="left"/>
      <w:pPr>
        <w:ind w:left="5040" w:hanging="360"/>
      </w:pPr>
      <w:rPr>
        <w:rFonts w:ascii="Symbol" w:hAnsi="Symbol" w:hint="default"/>
      </w:rPr>
    </w:lvl>
    <w:lvl w:ilvl="7" w:tplc="DAAEE90E">
      <w:start w:val="1"/>
      <w:numFmt w:val="bullet"/>
      <w:lvlText w:val="o"/>
      <w:lvlJc w:val="left"/>
      <w:pPr>
        <w:ind w:left="5760" w:hanging="360"/>
      </w:pPr>
      <w:rPr>
        <w:rFonts w:ascii="Courier New" w:hAnsi="Courier New" w:cs="Courier New" w:hint="default"/>
      </w:rPr>
    </w:lvl>
    <w:lvl w:ilvl="8" w:tplc="436C015E">
      <w:start w:val="1"/>
      <w:numFmt w:val="bullet"/>
      <w:lvlText w:val=""/>
      <w:lvlJc w:val="left"/>
      <w:pPr>
        <w:ind w:left="6480" w:hanging="360"/>
      </w:pPr>
      <w:rPr>
        <w:rFonts w:ascii="Wingdings" w:hAnsi="Wingdings" w:hint="default"/>
      </w:rPr>
    </w:lvl>
  </w:abstractNum>
  <w:abstractNum w:abstractNumId="14" w15:restartNumberingAfterBreak="0">
    <w:nsid w:val="2A3030A1"/>
    <w:multiLevelType w:val="singleLevel"/>
    <w:tmpl w:val="6DCCA5CE"/>
    <w:lvl w:ilvl="0">
      <w:start w:val="1"/>
      <w:numFmt w:val="none"/>
      <w:lvlText w:val=""/>
      <w:legacy w:legacy="1" w:legacySpace="0" w:legacyIndent="0"/>
      <w:lvlJc w:val="left"/>
    </w:lvl>
  </w:abstractNum>
  <w:abstractNum w:abstractNumId="15" w15:restartNumberingAfterBreak="0">
    <w:nsid w:val="2D9E4A94"/>
    <w:multiLevelType w:val="singleLevel"/>
    <w:tmpl w:val="6DCCA5CE"/>
    <w:lvl w:ilvl="0">
      <w:start w:val="1"/>
      <w:numFmt w:val="none"/>
      <w:lvlText w:val=""/>
      <w:legacy w:legacy="1" w:legacySpace="0" w:legacyIndent="0"/>
      <w:lvlJc w:val="left"/>
    </w:lvl>
  </w:abstractNum>
  <w:abstractNum w:abstractNumId="16" w15:restartNumberingAfterBreak="0">
    <w:nsid w:val="40152EAB"/>
    <w:multiLevelType w:val="singleLevel"/>
    <w:tmpl w:val="2034CD5C"/>
    <w:lvl w:ilvl="0">
      <w:numFmt w:val="decimal"/>
      <w:lvlText w:val="*"/>
      <w:lvlJc w:val="left"/>
    </w:lvl>
  </w:abstractNum>
  <w:abstractNum w:abstractNumId="17" w15:restartNumberingAfterBreak="0">
    <w:nsid w:val="46B310A4"/>
    <w:multiLevelType w:val="singleLevel"/>
    <w:tmpl w:val="6DCCA5CE"/>
    <w:lvl w:ilvl="0">
      <w:start w:val="1"/>
      <w:numFmt w:val="none"/>
      <w:lvlText w:val=""/>
      <w:legacy w:legacy="1" w:legacySpace="0" w:legacyIndent="0"/>
      <w:lvlJc w:val="left"/>
    </w:lvl>
  </w:abstractNum>
  <w:abstractNum w:abstractNumId="18"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19"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0"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1" w15:restartNumberingAfterBreak="0">
    <w:nsid w:val="5CBE216E"/>
    <w:multiLevelType w:val="singleLevel"/>
    <w:tmpl w:val="6DCCA5CE"/>
    <w:lvl w:ilvl="0">
      <w:start w:val="1"/>
      <w:numFmt w:val="none"/>
      <w:lvlText w:val=""/>
      <w:legacy w:legacy="1" w:legacySpace="0" w:legacyIndent="0"/>
      <w:lvlJc w:val="left"/>
    </w:lvl>
  </w:abstractNum>
  <w:abstractNum w:abstractNumId="22" w15:restartNumberingAfterBreak="0">
    <w:nsid w:val="6E76003D"/>
    <w:multiLevelType w:val="singleLevel"/>
    <w:tmpl w:val="BDF4B83C"/>
    <w:lvl w:ilvl="0">
      <w:numFmt w:val="decimal"/>
      <w:lvlText w:val="*"/>
      <w:lvlJc w:val="left"/>
    </w:lvl>
  </w:abstractNum>
  <w:abstractNum w:abstractNumId="23" w15:restartNumberingAfterBreak="0">
    <w:nsid w:val="7BF25134"/>
    <w:multiLevelType w:val="singleLevel"/>
    <w:tmpl w:val="6DCCA5CE"/>
    <w:lvl w:ilvl="0">
      <w:start w:val="1"/>
      <w:numFmt w:val="none"/>
      <w:lvlText w:val=""/>
      <w:legacy w:legacy="1" w:legacySpace="0" w:legacyIndent="0"/>
      <w:lvlJc w:val="left"/>
    </w:lvl>
  </w:abstractNum>
  <w:num w:numId="1" w16cid:durableId="1062603731">
    <w:abstractNumId w:val="9"/>
  </w:num>
  <w:num w:numId="2" w16cid:durableId="1283225023">
    <w:abstractNumId w:val="7"/>
  </w:num>
  <w:num w:numId="3" w16cid:durableId="1591620604">
    <w:abstractNumId w:val="6"/>
  </w:num>
  <w:num w:numId="4" w16cid:durableId="282854271">
    <w:abstractNumId w:val="5"/>
  </w:num>
  <w:num w:numId="5" w16cid:durableId="1540170816">
    <w:abstractNumId w:val="4"/>
  </w:num>
  <w:num w:numId="6" w16cid:durableId="1398866441">
    <w:abstractNumId w:val="8"/>
  </w:num>
  <w:num w:numId="7" w16cid:durableId="868764747">
    <w:abstractNumId w:val="3"/>
  </w:num>
  <w:num w:numId="8" w16cid:durableId="328413243">
    <w:abstractNumId w:val="2"/>
  </w:num>
  <w:num w:numId="9" w16cid:durableId="2021463665">
    <w:abstractNumId w:val="1"/>
  </w:num>
  <w:num w:numId="10" w16cid:durableId="639459653">
    <w:abstractNumId w:val="0"/>
  </w:num>
  <w:num w:numId="11" w16cid:durableId="1669093953">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2" w16cid:durableId="1059283668">
    <w:abstractNumId w:val="19"/>
  </w:num>
  <w:num w:numId="13" w16cid:durableId="611744255">
    <w:abstractNumId w:val="20"/>
  </w:num>
  <w:num w:numId="14" w16cid:durableId="2069068307">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16cid:durableId="282662404">
    <w:abstractNumId w:val="18"/>
  </w:num>
  <w:num w:numId="16" w16cid:durableId="1097796422">
    <w:abstractNumId w:val="21"/>
  </w:num>
  <w:num w:numId="17" w16cid:durableId="898319298">
    <w:abstractNumId w:val="11"/>
  </w:num>
  <w:num w:numId="18" w16cid:durableId="953440081">
    <w:abstractNumId w:val="20"/>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19" w16cid:durableId="306476589">
    <w:abstractNumId w:val="16"/>
    <w:lvlOverride w:ilvl="0">
      <w:lvl w:ilvl="0">
        <w:start w:val="1"/>
        <w:numFmt w:val="bullet"/>
        <w:lvlText w:val=""/>
        <w:legacy w:legacy="1" w:legacySpace="0" w:legacyIndent="0"/>
        <w:lvlJc w:val="left"/>
        <w:pPr>
          <w:ind w:left="1080" w:firstLine="0"/>
        </w:pPr>
        <w:rPr>
          <w:rFonts w:ascii="Symbol" w:hAnsi="Symbol" w:hint="default"/>
        </w:rPr>
      </w:lvl>
    </w:lvlOverride>
  </w:num>
  <w:num w:numId="20" w16cid:durableId="1578830495">
    <w:abstractNumId w:val="22"/>
    <w:lvlOverride w:ilvl="0">
      <w:lvl w:ilvl="0">
        <w:start w:val="1"/>
        <w:numFmt w:val="bullet"/>
        <w:lvlText w:val=""/>
        <w:legacy w:legacy="1" w:legacySpace="0" w:legacyIndent="0"/>
        <w:lvlJc w:val="left"/>
        <w:pPr>
          <w:ind w:left="1080" w:firstLine="0"/>
        </w:pPr>
        <w:rPr>
          <w:rFonts w:ascii="Symbol" w:hAnsi="Symbol" w:hint="default"/>
        </w:rPr>
      </w:lvl>
    </w:lvlOverride>
  </w:num>
  <w:num w:numId="21" w16cid:durableId="971983150">
    <w:abstractNumId w:val="17"/>
  </w:num>
  <w:num w:numId="22" w16cid:durableId="640890220">
    <w:abstractNumId w:val="15"/>
  </w:num>
  <w:num w:numId="23" w16cid:durableId="623926269">
    <w:abstractNumId w:val="14"/>
  </w:num>
  <w:num w:numId="24" w16cid:durableId="1165437465">
    <w:abstractNumId w:val="23"/>
  </w:num>
  <w:num w:numId="25" w16cid:durableId="1188132969">
    <w:abstractNumId w:val="12"/>
  </w:num>
  <w:num w:numId="26" w16cid:durableId="7967533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F5"/>
    <w:rsid w:val="00145ED8"/>
    <w:rsid w:val="0019258A"/>
    <w:rsid w:val="00203734"/>
    <w:rsid w:val="003F0767"/>
    <w:rsid w:val="004024BC"/>
    <w:rsid w:val="00402F94"/>
    <w:rsid w:val="004079F4"/>
    <w:rsid w:val="004516D3"/>
    <w:rsid w:val="00474D7C"/>
    <w:rsid w:val="004D1B2F"/>
    <w:rsid w:val="005264AE"/>
    <w:rsid w:val="00546061"/>
    <w:rsid w:val="005942AE"/>
    <w:rsid w:val="00597ACD"/>
    <w:rsid w:val="005C2481"/>
    <w:rsid w:val="00622DF5"/>
    <w:rsid w:val="00632B92"/>
    <w:rsid w:val="006A3596"/>
    <w:rsid w:val="006E433F"/>
    <w:rsid w:val="008F0473"/>
    <w:rsid w:val="00A21E55"/>
    <w:rsid w:val="00A2281C"/>
    <w:rsid w:val="00A26EEF"/>
    <w:rsid w:val="00A47B45"/>
    <w:rsid w:val="00A57A2D"/>
    <w:rsid w:val="00A72B6D"/>
    <w:rsid w:val="00AE1F12"/>
    <w:rsid w:val="00B1015B"/>
    <w:rsid w:val="00B12FF0"/>
    <w:rsid w:val="00B852D4"/>
    <w:rsid w:val="00BA4176"/>
    <w:rsid w:val="00BA7574"/>
    <w:rsid w:val="00BC6314"/>
    <w:rsid w:val="00C451E1"/>
    <w:rsid w:val="00C936A8"/>
    <w:rsid w:val="00D44E19"/>
    <w:rsid w:val="00DB05E9"/>
    <w:rsid w:val="00DB6CFD"/>
    <w:rsid w:val="00E73A4B"/>
    <w:rsid w:val="00E76554"/>
    <w:rsid w:val="00ED2B80"/>
    <w:rsid w:val="00EE3B44"/>
    <w:rsid w:val="00F013FF"/>
    <w:rsid w:val="00FD7043"/>
    <w:rsid w:val="00FD70C6"/>
    <w:rsid w:val="00FE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CCC09"/>
  <w15:chartTrackingRefBased/>
  <w15:docId w15:val="{1C3BCD39-BBB3-4F0E-ABDD-C131721C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080"/>
    </w:pPr>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Header">
    <w:name w:val="header"/>
    <w:basedOn w:val="HeaderBase"/>
  </w:style>
  <w:style w:type="paragraph" w:styleId="Footer">
    <w:name w:val="footer"/>
    <w:basedOn w:val="HeaderBase"/>
    <w:link w:val="FooterChar"/>
    <w:uiPriority w:val="99"/>
  </w:style>
  <w:style w:type="character" w:styleId="PageNumber">
    <w:name w:val="page number"/>
    <w:rPr>
      <w:rFonts w:ascii="Arial Black" w:hAnsi="Arial Black"/>
      <w:spacing w:val="-10"/>
      <w:sz w:val="18"/>
    </w:rPr>
  </w:style>
  <w:style w:type="paragraph" w:customStyle="1" w:styleId="Policy1">
    <w:name w:val="Policy 1"/>
    <w:basedOn w:val="Normal"/>
    <w:pPr>
      <w:tabs>
        <w:tab w:val="left" w:pos="-1440"/>
        <w:tab w:val="left" w:pos="-720"/>
        <w:tab w:val="left" w:pos="0"/>
        <w:tab w:val="left" w:pos="360"/>
        <w:tab w:val="left" w:pos="1440"/>
        <w:tab w:val="left" w:pos="1890"/>
        <w:tab w:val="left" w:pos="2880"/>
        <w:tab w:val="right" w:pos="9216"/>
      </w:tabs>
      <w:ind w:firstLine="360"/>
    </w:pPr>
    <w:rPr>
      <w:rFonts w:ascii="Arial Narrow" w:hAnsi="Arial Narrow"/>
      <w:sz w:val="24"/>
    </w:r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pPr>
      <w:spacing w:after="240" w:line="240" w:lineRule="atLeast"/>
      <w:jc w:val="both"/>
    </w:pPr>
  </w:style>
  <w:style w:type="paragraph" w:styleId="BodyTextIndent">
    <w:name w:val="Body Text Indent"/>
    <w:basedOn w:val="BodyText"/>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ind w:left="0"/>
      <w:jc w:val="center"/>
    </w:pPr>
    <w:rPr>
      <w:color w:val="FFFFFF"/>
      <w:spacing w:val="-16"/>
      <w:sz w:val="26"/>
    </w:rPr>
  </w:style>
  <w:style w:type="paragraph" w:customStyle="1" w:styleId="PartTitle">
    <w:name w:val="Part Title"/>
    <w:basedOn w:val="Normal"/>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ind w:left="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paragraph" w:styleId="FootnoteText">
    <w:name w:val="footnote text"/>
    <w:basedOn w:val="Footnote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144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pPr>
      <w:numPr>
        <w:numId w:val="12"/>
      </w:numPr>
      <w:tabs>
        <w:tab w:val="clear" w:pos="1440"/>
      </w:tabs>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List"/>
    <w:pPr>
      <w:numPr>
        <w:numId w:val="1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ind w:left="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ind w:left="0"/>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CSDAPolicy1">
    <w:name w:val="CSDA Policy 1"/>
    <w:basedOn w:val="Normal"/>
    <w:pPr>
      <w:tabs>
        <w:tab w:val="left" w:pos="-1440"/>
        <w:tab w:val="left" w:pos="-720"/>
        <w:tab w:val="left" w:pos="0"/>
        <w:tab w:val="left" w:pos="810"/>
        <w:tab w:val="left" w:pos="1800"/>
        <w:tab w:val="left" w:pos="2160"/>
        <w:tab w:val="left" w:pos="2880"/>
        <w:tab w:val="left" w:pos="3600"/>
        <w:tab w:val="left" w:pos="4320"/>
        <w:tab w:val="left" w:pos="5040"/>
        <w:tab w:val="left" w:pos="5760"/>
      </w:tabs>
      <w:ind w:left="0"/>
    </w:pPr>
    <w:rPr>
      <w:rFonts w:ascii="Arial Narrow" w:hAnsi="Arial Narrow"/>
      <w:sz w:val="24"/>
    </w:rPr>
  </w:style>
  <w:style w:type="paragraph" w:styleId="NormalWeb">
    <w:name w:val="Normal (Web)"/>
    <w:basedOn w:val="Normal"/>
    <w:rsid w:val="004516D3"/>
    <w:pPr>
      <w:spacing w:before="100" w:beforeAutospacing="1"/>
      <w:ind w:left="0"/>
    </w:pPr>
    <w:rPr>
      <w:rFonts w:ascii="Times New Roman" w:hAnsi="Times New Roman"/>
      <w:color w:val="000000"/>
      <w:spacing w:val="0"/>
      <w:sz w:val="24"/>
      <w:szCs w:val="24"/>
    </w:rPr>
  </w:style>
  <w:style w:type="character" w:customStyle="1" w:styleId="FooterChar">
    <w:name w:val="Footer Char"/>
    <w:link w:val="Footer"/>
    <w:uiPriority w:val="99"/>
    <w:rsid w:val="005264AE"/>
    <w:rPr>
      <w:rFonts w:ascii="Arial" w:hAnsi="Arial"/>
      <w:caps/>
      <w:spacing w:val="-5"/>
      <w:sz w:val="15"/>
    </w:rPr>
  </w:style>
  <w:style w:type="paragraph" w:styleId="Revision">
    <w:name w:val="Revision"/>
    <w:hidden/>
    <w:uiPriority w:val="99"/>
    <w:semiHidden/>
    <w:rsid w:val="00C451E1"/>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1103</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CALIFORNIA SPECIAL DISTRICTS ASSOCIATION</vt:lpstr>
    </vt:vector>
  </TitlesOfParts>
  <Company>Callyomi County Water District</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SPECIAL DISTRICTS ASSOCIATION</dc:title>
  <dc:subject/>
  <dc:creator>Mike Glaze</dc:creator>
  <cp:keywords/>
  <cp:lastModifiedBy>Meri Browning</cp:lastModifiedBy>
  <cp:revision>8</cp:revision>
  <cp:lastPrinted>2024-02-07T19:55:00Z</cp:lastPrinted>
  <dcterms:created xsi:type="dcterms:W3CDTF">2024-02-07T23:06:00Z</dcterms:created>
  <dcterms:modified xsi:type="dcterms:W3CDTF">2024-02-20T22:49:00Z</dcterms:modified>
</cp:coreProperties>
</file>